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3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27"/>
        <w:gridCol w:w="413"/>
        <w:gridCol w:w="7121"/>
      </w:tblGrid>
      <w:tr w:rsidR="0094424E" w:rsidTr="00457177">
        <w:trPr>
          <w:jc w:val="center"/>
        </w:trPr>
        <w:tc>
          <w:tcPr>
            <w:tcW w:w="284" w:type="dxa"/>
          </w:tcPr>
          <w:p w:rsidR="0094424E" w:rsidRPr="00DD05A8" w:rsidRDefault="00CF7214"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אביגדור דורות</w:t>
                </w:r>
              </w:sdtContent>
            </w:sdt>
          </w:p>
          <w:p w:rsidR="0094424E" w:rsidRPr="00DD05A8" w:rsidRDefault="0094424E" w:rsidP="00D44968">
            <w:pPr>
              <w:suppressLineNumbers/>
              <w:rPr>
                <w:rFonts w:ascii="Arial" w:hAnsi="Arial" w:cs="FrankRuehl"/>
                <w:sz w:val="26"/>
                <w:szCs w:val="26"/>
                <w:highlight w:val="yellow"/>
              </w:rPr>
            </w:pPr>
          </w:p>
        </w:tc>
      </w:tr>
      <w:tr w:rsidR="0094424E" w:rsidTr="00457177">
        <w:trPr>
          <w:jc w:val="center"/>
        </w:trPr>
        <w:tc>
          <w:tcPr>
            <w:tcW w:w="709" w:type="dxa"/>
            <w:gridSpan w:val="2"/>
          </w:tcPr>
          <w:p w:rsidR="00C76849" w:rsidRPr="00CF7214" w:rsidRDefault="00CF7214" w:rsidP="00CF7214">
            <w:pPr>
              <w:suppressLineNumbers/>
              <w:rPr>
                <w:rFonts w:ascii="Arial" w:hAnsi="Arial"/>
                <w:b/>
                <w:bCs/>
                <w:noProof w:val="0"/>
                <w:sz w:val="26"/>
                <w:szCs w:val="26"/>
                <w:rtl/>
              </w:rPr>
            </w:pPr>
            <w:r w:rsidRPr="00CF7214">
              <w:rPr>
                <w:rFonts w:ascii="Arial" w:hAnsi="Arial" w:hint="cs"/>
                <w:b/>
                <w:bCs/>
                <w:noProof w:val="0"/>
                <w:sz w:val="26"/>
                <w:szCs w:val="26"/>
                <w:rtl/>
              </w:rPr>
              <w:t>המערער</w:t>
            </w:r>
            <w:r w:rsidR="00387DBB">
              <w:rPr>
                <w:rFonts w:ascii="Arial" w:hAnsi="Arial" w:hint="cs"/>
                <w:b/>
                <w:bCs/>
                <w:noProof w:val="0"/>
                <w:sz w:val="26"/>
                <w:szCs w:val="26"/>
                <w:rtl/>
              </w:rPr>
              <w:t>:</w:t>
            </w:r>
          </w:p>
        </w:tc>
        <w:tc>
          <w:tcPr>
            <w:tcW w:w="7652" w:type="dxa"/>
          </w:tcPr>
          <w:p w:rsidR="00CF7214" w:rsidRPr="00CF7214" w:rsidRDefault="007C2453" w:rsidP="007C2453">
            <w:pPr>
              <w:suppressLineNumbers/>
              <w:rPr>
                <w:sz w:val="26"/>
                <w:szCs w:val="26"/>
                <w:rtl/>
              </w:rPr>
            </w:pPr>
            <w:r w:rsidRPr="00CF7214">
              <w:rPr>
                <w:rFonts w:ascii="Arial" w:hAnsi="Arial" w:hint="cs"/>
                <w:b/>
                <w:bCs/>
                <w:noProof w:val="0"/>
                <w:sz w:val="26"/>
                <w:szCs w:val="26"/>
                <w:rtl/>
              </w:rPr>
              <w:t xml:space="preserve"> </w:t>
            </w:r>
            <w:r w:rsidR="00B859C5" w:rsidRPr="00CF7214">
              <w:rPr>
                <w:rFonts w:ascii="Arial" w:hAnsi="Arial" w:hint="eastAsia"/>
                <w:b/>
                <w:bCs/>
                <w:noProof w:val="0"/>
                <w:sz w:val="26"/>
                <w:szCs w:val="26"/>
                <w:rtl/>
              </w:rPr>
              <w:t>חיים גורבצבסקי</w:t>
            </w:r>
            <w:r w:rsidR="00B859C5" w:rsidRPr="00CF7214">
              <w:rPr>
                <w:rFonts w:hint="cs"/>
                <w:sz w:val="26"/>
                <w:szCs w:val="26"/>
                <w:rtl/>
              </w:rPr>
              <w:t xml:space="preserve"> </w:t>
            </w:r>
          </w:p>
          <w:p w:rsidR="0094424E" w:rsidRPr="00CF7214" w:rsidRDefault="00CF7214" w:rsidP="007C2453">
            <w:pPr>
              <w:suppressLineNumbers/>
              <w:rPr>
                <w:noProof w:val="0"/>
                <w:sz w:val="26"/>
                <w:szCs w:val="26"/>
              </w:rPr>
            </w:pPr>
            <w:r w:rsidRPr="00CF7214">
              <w:rPr>
                <w:rFonts w:ascii="Arial" w:hAnsi="Arial"/>
                <w:noProof w:val="0"/>
                <w:sz w:val="26"/>
                <w:szCs w:val="26"/>
                <w:rtl/>
              </w:rPr>
              <w:t>ע"י ב"כ ע</w:t>
            </w:r>
            <w:r w:rsidRPr="00CF7214">
              <w:rPr>
                <w:rFonts w:ascii="Arial" w:hAnsi="Arial" w:hint="cs"/>
                <w:noProof w:val="0"/>
                <w:sz w:val="26"/>
                <w:szCs w:val="26"/>
                <w:rtl/>
              </w:rPr>
              <w:t>ו"ד חזי צוריאל</w:t>
            </w:r>
          </w:p>
        </w:tc>
      </w:tr>
      <w:tr w:rsidR="0094424E" w:rsidTr="00457177">
        <w:trPr>
          <w:jc w:val="center"/>
        </w:trPr>
        <w:tc>
          <w:tcPr>
            <w:tcW w:w="8361" w:type="dxa"/>
            <w:gridSpan w:val="3"/>
          </w:tcPr>
          <w:p w:rsidR="0094424E" w:rsidRPr="00CF7214" w:rsidRDefault="0094424E" w:rsidP="00D44968">
            <w:pPr>
              <w:suppressLineNumbers/>
              <w:rPr>
                <w:rFonts w:ascii="Arial" w:hAnsi="Arial"/>
                <w:b/>
                <w:bCs/>
                <w:noProof w:val="0"/>
                <w:sz w:val="26"/>
                <w:szCs w:val="26"/>
                <w:rtl/>
              </w:rPr>
            </w:pPr>
          </w:p>
          <w:p w:rsidR="0094424E" w:rsidRPr="00CF7214" w:rsidRDefault="00CF7214" w:rsidP="00CF7214">
            <w:pPr>
              <w:suppressLineNumbers/>
              <w:rPr>
                <w:rFonts w:ascii="Arial" w:hAnsi="Arial"/>
                <w:b/>
                <w:bCs/>
                <w:noProof w:val="0"/>
                <w:sz w:val="26"/>
                <w:szCs w:val="26"/>
                <w:rtl/>
              </w:rPr>
            </w:pPr>
            <w:r w:rsidRPr="00CF7214">
              <w:rPr>
                <w:rFonts w:ascii="Arial" w:hAnsi="Arial" w:hint="cs"/>
                <w:b/>
                <w:bCs/>
                <w:noProof w:val="0"/>
                <w:sz w:val="26"/>
                <w:szCs w:val="26"/>
                <w:rtl/>
              </w:rPr>
              <w:t xml:space="preserve">                        </w:t>
            </w:r>
            <w:r w:rsidR="0094424E" w:rsidRPr="00CF7214">
              <w:rPr>
                <w:rFonts w:ascii="Arial" w:hAnsi="Arial"/>
                <w:b/>
                <w:bCs/>
                <w:noProof w:val="0"/>
                <w:sz w:val="26"/>
                <w:szCs w:val="26"/>
                <w:rtl/>
              </w:rPr>
              <w:t>נגד</w:t>
            </w:r>
          </w:p>
          <w:p w:rsidR="0094424E" w:rsidRPr="00CF7214" w:rsidRDefault="0094424E" w:rsidP="00D44968">
            <w:pPr>
              <w:suppressLineNumbers/>
              <w:rPr>
                <w:rFonts w:ascii="Arial" w:hAnsi="Arial"/>
                <w:b/>
                <w:bCs/>
                <w:noProof w:val="0"/>
                <w:sz w:val="26"/>
                <w:szCs w:val="26"/>
              </w:rPr>
            </w:pPr>
          </w:p>
        </w:tc>
      </w:tr>
      <w:tr w:rsidR="0094424E" w:rsidTr="00457177">
        <w:trPr>
          <w:jc w:val="center"/>
        </w:trPr>
        <w:tc>
          <w:tcPr>
            <w:tcW w:w="709" w:type="dxa"/>
            <w:gridSpan w:val="2"/>
          </w:tcPr>
          <w:p w:rsidR="0094424E" w:rsidRPr="00CF7214" w:rsidRDefault="00CF7214" w:rsidP="00CF7214">
            <w:pPr>
              <w:suppressLineNumbers/>
              <w:rPr>
                <w:rFonts w:ascii="Arial" w:hAnsi="Arial"/>
                <w:b/>
                <w:bCs/>
                <w:noProof w:val="0"/>
                <w:sz w:val="26"/>
                <w:szCs w:val="26"/>
              </w:rPr>
            </w:pPr>
            <w:r w:rsidRPr="00CF7214">
              <w:rPr>
                <w:rFonts w:ascii="Arial" w:hAnsi="Arial" w:hint="cs"/>
                <w:b/>
                <w:bCs/>
                <w:noProof w:val="0"/>
                <w:sz w:val="26"/>
                <w:szCs w:val="26"/>
                <w:rtl/>
              </w:rPr>
              <w:t>ה</w:t>
            </w:r>
            <w:r w:rsidR="00B859C5" w:rsidRPr="00CF7214">
              <w:rPr>
                <w:rFonts w:ascii="Arial" w:hAnsi="Arial"/>
                <w:b/>
                <w:bCs/>
                <w:noProof w:val="0"/>
                <w:sz w:val="26"/>
                <w:szCs w:val="26"/>
                <w:rtl/>
              </w:rPr>
              <w:t>משיב</w:t>
            </w:r>
            <w:r w:rsidR="00387DBB">
              <w:rPr>
                <w:rFonts w:ascii="Arial" w:hAnsi="Arial" w:hint="cs"/>
                <w:b/>
                <w:bCs/>
                <w:noProof w:val="0"/>
                <w:sz w:val="26"/>
                <w:szCs w:val="26"/>
                <w:rtl/>
              </w:rPr>
              <w:t>:</w:t>
            </w:r>
          </w:p>
        </w:tc>
        <w:tc>
          <w:tcPr>
            <w:tcW w:w="7652" w:type="dxa"/>
          </w:tcPr>
          <w:p w:rsidR="00CF6BB7" w:rsidRPr="00CF7214" w:rsidRDefault="00CF7214" w:rsidP="00CF7214">
            <w:pPr>
              <w:suppressLineNumbers/>
              <w:rPr>
                <w:rFonts w:ascii="Arial" w:hAnsi="Arial"/>
                <w:b/>
                <w:bCs/>
                <w:noProof w:val="0"/>
                <w:sz w:val="26"/>
                <w:szCs w:val="26"/>
                <w:rtl/>
              </w:rPr>
            </w:pPr>
            <w:r w:rsidRPr="00CF7214">
              <w:rPr>
                <w:rFonts w:ascii="Arial" w:hAnsi="Arial" w:hint="cs"/>
                <w:b/>
                <w:bCs/>
                <w:noProof w:val="0"/>
                <w:sz w:val="26"/>
                <w:szCs w:val="26"/>
                <w:rtl/>
              </w:rPr>
              <w:t>מנהל מס רכוש וקרן פיצויים</w:t>
            </w:r>
          </w:p>
          <w:p w:rsidR="00CF7214" w:rsidRPr="00CF7214" w:rsidRDefault="00CF7214" w:rsidP="00CF7214">
            <w:pPr>
              <w:suppressLineNumbers/>
              <w:rPr>
                <w:sz w:val="26"/>
                <w:szCs w:val="26"/>
                <w:rtl/>
              </w:rPr>
            </w:pPr>
            <w:r w:rsidRPr="00CF7214">
              <w:rPr>
                <w:rFonts w:hint="cs"/>
                <w:sz w:val="26"/>
                <w:szCs w:val="26"/>
                <w:rtl/>
              </w:rPr>
              <w:t xml:space="preserve">באמצעות פרקליטות מחוז ירושלים </w:t>
            </w:r>
            <w:r>
              <w:rPr>
                <w:rFonts w:hint="cs"/>
                <w:sz w:val="26"/>
                <w:szCs w:val="26"/>
                <w:rtl/>
              </w:rPr>
              <w:t>(</w:t>
            </w:r>
            <w:r w:rsidRPr="00CF7214">
              <w:rPr>
                <w:rFonts w:hint="cs"/>
                <w:sz w:val="26"/>
                <w:szCs w:val="26"/>
                <w:rtl/>
              </w:rPr>
              <w:t>אזרחי</w:t>
            </w:r>
            <w:r>
              <w:rPr>
                <w:rFonts w:hint="cs"/>
                <w:sz w:val="26"/>
                <w:szCs w:val="26"/>
                <w:rtl/>
              </w:rPr>
              <w:t>)</w:t>
            </w:r>
          </w:p>
          <w:p w:rsidR="00CF7214" w:rsidRPr="00CF7214" w:rsidRDefault="00CF7214" w:rsidP="00CF7214">
            <w:pPr>
              <w:suppressLineNumbers/>
              <w:rPr>
                <w:sz w:val="26"/>
                <w:szCs w:val="26"/>
                <w:rtl/>
              </w:rPr>
            </w:pPr>
            <w:r w:rsidRPr="00CF7214">
              <w:rPr>
                <w:rFonts w:hint="cs"/>
                <w:sz w:val="26"/>
                <w:szCs w:val="26"/>
                <w:rtl/>
              </w:rPr>
              <w:t>ע"י ב"כ עו"ד אסתר גלקופ -אליאש</w:t>
            </w:r>
          </w:p>
        </w:tc>
      </w:tr>
    </w:tbl>
    <w:p w:rsidR="00CF7214" w:rsidRDefault="00CF7214" w:rsidP="00D44968">
      <w:pPr>
        <w:suppressLineNumbers/>
        <w:rPr>
          <w:rtl/>
        </w:rPr>
      </w:pPr>
    </w:p>
    <w:p w:rsidR="00CF7214" w:rsidRDefault="00CF7214"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3E38C7" w:rsidP="00457177">
            <w:pPr>
              <w:bidi w:val="0"/>
              <w:jc w:val="center"/>
              <w:rPr>
                <w:rFonts w:ascii="Arial" w:hAnsi="Arial"/>
                <w:b/>
                <w:bCs/>
                <w:noProof w:val="0"/>
                <w:sz w:val="28"/>
                <w:szCs w:val="28"/>
                <w:u w:val="single"/>
              </w:rPr>
            </w:pPr>
            <w:r w:rsidRPr="00457177">
              <w:rPr>
                <w:rFonts w:ascii="Arial" w:hAnsi="Arial" w:hint="cs"/>
                <w:b/>
                <w:bCs/>
                <w:noProof w:val="0"/>
                <w:sz w:val="30"/>
                <w:szCs w:val="30"/>
                <w:u w:val="single"/>
                <w:rtl/>
              </w:rPr>
              <w:t>פסק דין</w:t>
            </w:r>
          </w:p>
        </w:tc>
      </w:tr>
    </w:tbl>
    <w:p w:rsidR="00694556" w:rsidRDefault="00694556" w:rsidP="00FD594F">
      <w:pPr>
        <w:spacing w:line="360" w:lineRule="auto"/>
        <w:jc w:val="both"/>
        <w:rPr>
          <w:rFonts w:ascii="Arial" w:hAnsi="Arial"/>
          <w:noProof w:val="0"/>
          <w:rtl/>
        </w:rPr>
      </w:pPr>
      <w:bookmarkStart w:id="0" w:name="NGCSBookmark"/>
      <w:bookmarkEnd w:id="0"/>
    </w:p>
    <w:p w:rsidR="00FD594F" w:rsidRPr="00FD594F" w:rsidRDefault="00FD594F" w:rsidP="00FD594F">
      <w:pPr>
        <w:spacing w:line="360" w:lineRule="auto"/>
        <w:jc w:val="both"/>
        <w:rPr>
          <w:rFonts w:ascii="Arial" w:hAnsi="Arial"/>
          <w:noProof w:val="0"/>
          <w:rtl/>
        </w:rPr>
      </w:pPr>
      <w:r>
        <w:rPr>
          <w:rFonts w:ascii="Arial" w:hAnsi="Arial" w:hint="cs"/>
          <w:noProof w:val="0"/>
          <w:rtl/>
        </w:rPr>
        <w:t xml:space="preserve">לפניי ערעור </w:t>
      </w:r>
      <w:r w:rsidR="00DD101B">
        <w:rPr>
          <w:rFonts w:ascii="Arial" w:hAnsi="Arial" w:hint="cs"/>
          <w:noProof w:val="0"/>
          <w:rtl/>
        </w:rPr>
        <w:t xml:space="preserve">על החלטת ועדת ערר לעניין מס רכוש וקרן פיצויים (נזק מלחמה ונזק עקיף) (להלן: "הוועדה") מיום 13.9.2022 </w:t>
      </w:r>
      <w:r w:rsidR="006F6389">
        <w:rPr>
          <w:rFonts w:ascii="Arial" w:hAnsi="Arial" w:hint="cs"/>
          <w:noProof w:val="0"/>
          <w:rtl/>
        </w:rPr>
        <w:t>בגדרה הוחלט לקבל את הערר שהגיש המערער</w:t>
      </w:r>
      <w:r w:rsidR="00BC3588">
        <w:rPr>
          <w:rFonts w:ascii="Arial" w:hAnsi="Arial" w:hint="cs"/>
          <w:noProof w:val="0"/>
          <w:rtl/>
        </w:rPr>
        <w:t xml:space="preserve"> באופן </w:t>
      </w:r>
      <w:r w:rsidR="007D3DAE">
        <w:rPr>
          <w:rFonts w:ascii="Arial" w:hAnsi="Arial" w:hint="cs"/>
          <w:noProof w:val="0"/>
          <w:rtl/>
        </w:rPr>
        <w:t>חלקי, כך שגובה הפיצוי על כלל הציוד שהיה בנגריה</w:t>
      </w:r>
      <w:r w:rsidR="00387DBB">
        <w:rPr>
          <w:rFonts w:ascii="Arial" w:hAnsi="Arial" w:hint="cs"/>
          <w:noProof w:val="0"/>
          <w:rtl/>
        </w:rPr>
        <w:t xml:space="preserve"> שהופעלה על ידו</w:t>
      </w:r>
      <w:r w:rsidR="007D3DAE">
        <w:rPr>
          <w:rFonts w:ascii="Arial" w:hAnsi="Arial" w:hint="cs"/>
          <w:noProof w:val="0"/>
          <w:rtl/>
        </w:rPr>
        <w:t xml:space="preserve"> ונשרף </w:t>
      </w:r>
      <w:r w:rsidR="007D3DAE">
        <w:rPr>
          <w:rFonts w:ascii="Arial" w:hAnsi="Arial"/>
          <w:noProof w:val="0"/>
          <w:rtl/>
        </w:rPr>
        <w:t>–</w:t>
      </w:r>
      <w:r w:rsidR="007D3DAE">
        <w:rPr>
          <w:rFonts w:ascii="Arial" w:hAnsi="Arial" w:hint="cs"/>
          <w:noProof w:val="0"/>
          <w:rtl/>
        </w:rPr>
        <w:t xml:space="preserve"> יעמוד על 26,100 ש"ח בתוספת ריבית והצמדה מיום הגשת התביעה. </w:t>
      </w:r>
    </w:p>
    <w:p w:rsidR="00457177" w:rsidRDefault="00457177">
      <w:pPr>
        <w:spacing w:line="360" w:lineRule="auto"/>
        <w:jc w:val="both"/>
        <w:rPr>
          <w:rFonts w:ascii="Arial" w:hAnsi="Arial"/>
          <w:noProof w:val="0"/>
          <w:rtl/>
        </w:rPr>
      </w:pPr>
    </w:p>
    <w:p w:rsidR="003B5576" w:rsidRPr="003B5576" w:rsidRDefault="003B5576" w:rsidP="003B5576">
      <w:pPr>
        <w:spacing w:line="360" w:lineRule="auto"/>
        <w:jc w:val="both"/>
        <w:rPr>
          <w:rFonts w:ascii="Arial" w:hAnsi="Arial"/>
          <w:b/>
          <w:bCs/>
          <w:noProof w:val="0"/>
          <w:u w:val="single"/>
          <w:rtl/>
        </w:rPr>
      </w:pPr>
      <w:r w:rsidRPr="003B5576">
        <w:rPr>
          <w:rFonts w:ascii="Arial" w:hAnsi="Arial" w:hint="cs"/>
          <w:b/>
          <w:bCs/>
          <w:noProof w:val="0"/>
          <w:u w:val="single"/>
          <w:rtl/>
        </w:rPr>
        <w:t xml:space="preserve">הרקע </w:t>
      </w:r>
      <w:r>
        <w:rPr>
          <w:rFonts w:ascii="Arial" w:hAnsi="Arial" w:hint="cs"/>
          <w:b/>
          <w:bCs/>
          <w:noProof w:val="0"/>
          <w:u w:val="single"/>
          <w:rtl/>
        </w:rPr>
        <w:t>לערעור והחלטת הוועדה</w:t>
      </w:r>
    </w:p>
    <w:p w:rsidR="00457177" w:rsidRDefault="003B5576" w:rsidP="003B5576">
      <w:pPr>
        <w:spacing w:line="360" w:lineRule="auto"/>
        <w:ind w:left="369" w:hanging="369"/>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המערער החזיק בבית מלאכה </w:t>
      </w:r>
      <w:r w:rsidR="00387DBB">
        <w:rPr>
          <w:rFonts w:ascii="Arial" w:hAnsi="Arial" w:hint="cs"/>
          <w:noProof w:val="0"/>
          <w:rtl/>
        </w:rPr>
        <w:t xml:space="preserve">בישוב אלון מורה </w:t>
      </w:r>
      <w:r>
        <w:rPr>
          <w:rFonts w:ascii="Arial" w:hAnsi="Arial" w:hint="cs"/>
          <w:noProof w:val="0"/>
          <w:rtl/>
        </w:rPr>
        <w:t xml:space="preserve">ששכר </w:t>
      </w:r>
      <w:r w:rsidR="00CD4E92">
        <w:rPr>
          <w:rFonts w:ascii="Arial" w:hAnsi="Arial" w:hint="cs"/>
          <w:noProof w:val="0"/>
          <w:rtl/>
        </w:rPr>
        <w:t xml:space="preserve">מהאגודה אלון מורה-שכם </w:t>
      </w:r>
      <w:r w:rsidR="00CD4E92">
        <w:rPr>
          <w:rFonts w:ascii="Arial" w:hAnsi="Arial"/>
          <w:noProof w:val="0"/>
          <w:rtl/>
        </w:rPr>
        <w:t>–</w:t>
      </w:r>
      <w:r w:rsidR="00CD4E92">
        <w:rPr>
          <w:rFonts w:ascii="Arial" w:hAnsi="Arial" w:hint="cs"/>
          <w:noProof w:val="0"/>
          <w:rtl/>
        </w:rPr>
        <w:t xml:space="preserve"> אגודה שיתופית בע"מ</w:t>
      </w:r>
      <w:r w:rsidR="009B4348">
        <w:rPr>
          <w:rFonts w:ascii="Arial" w:hAnsi="Arial" w:hint="cs"/>
          <w:noProof w:val="0"/>
          <w:rtl/>
        </w:rPr>
        <w:t xml:space="preserve"> (להלן: בית המלאכה")</w:t>
      </w:r>
      <w:r w:rsidR="0042105E">
        <w:rPr>
          <w:rFonts w:ascii="Arial" w:hAnsi="Arial" w:hint="cs"/>
          <w:noProof w:val="0"/>
          <w:rtl/>
        </w:rPr>
        <w:t xml:space="preserve">, ולפי טענתו השתמש במקום כנגריה והחזיק בה ציוד ומלאי. </w:t>
      </w:r>
    </w:p>
    <w:p w:rsidR="00B60469" w:rsidRDefault="00B60469" w:rsidP="003B5576">
      <w:pPr>
        <w:spacing w:line="360" w:lineRule="auto"/>
        <w:ind w:left="369" w:hanging="369"/>
        <w:jc w:val="both"/>
        <w:rPr>
          <w:rFonts w:ascii="Arial" w:hAnsi="Arial"/>
          <w:noProof w:val="0"/>
          <w:rtl/>
        </w:rPr>
      </w:pPr>
    </w:p>
    <w:p w:rsidR="00B60469" w:rsidRDefault="00B60469" w:rsidP="009B4348">
      <w:pPr>
        <w:spacing w:line="360" w:lineRule="auto"/>
        <w:ind w:left="369" w:hanging="369"/>
        <w:jc w:val="both"/>
        <w:rPr>
          <w:rFonts w:ascii="Arial" w:hAnsi="Arial"/>
          <w:noProof w:val="0"/>
          <w:rtl/>
        </w:rPr>
      </w:pPr>
      <w:r>
        <w:rPr>
          <w:rFonts w:ascii="Arial" w:hAnsi="Arial" w:hint="cs"/>
          <w:noProof w:val="0"/>
          <w:rtl/>
        </w:rPr>
        <w:t>2.</w:t>
      </w:r>
      <w:r>
        <w:rPr>
          <w:rFonts w:ascii="Arial" w:hAnsi="Arial" w:hint="cs"/>
          <w:noProof w:val="0"/>
          <w:rtl/>
        </w:rPr>
        <w:tab/>
        <w:t>ביום 27.7.15</w:t>
      </w:r>
      <w:r w:rsidR="009B4348">
        <w:rPr>
          <w:rFonts w:ascii="Arial" w:hAnsi="Arial" w:hint="cs"/>
          <w:noProof w:val="0"/>
          <w:rtl/>
        </w:rPr>
        <w:t xml:space="preserve"> נגרמו נזקי אש לבית המלאכה עקב פעילות ביטחונית של צה"ל, לאחר שפצצת תאורה נפלה בסמוך למקום והבעירה אש אשר גרמה לשריפה. </w:t>
      </w:r>
    </w:p>
    <w:p w:rsidR="009B4348" w:rsidRDefault="009B4348" w:rsidP="009B4348">
      <w:pPr>
        <w:spacing w:line="360" w:lineRule="auto"/>
        <w:ind w:left="369" w:hanging="369"/>
        <w:jc w:val="both"/>
        <w:rPr>
          <w:rFonts w:ascii="Arial" w:hAnsi="Arial"/>
          <w:noProof w:val="0"/>
          <w:rtl/>
        </w:rPr>
      </w:pPr>
    </w:p>
    <w:p w:rsidR="0089790D" w:rsidRDefault="009B4348" w:rsidP="00387DBB">
      <w:pPr>
        <w:spacing w:line="360" w:lineRule="auto"/>
        <w:ind w:left="369" w:hanging="369"/>
        <w:jc w:val="both"/>
        <w:rPr>
          <w:rFonts w:ascii="Arial" w:hAnsi="Arial"/>
          <w:noProof w:val="0"/>
          <w:rtl/>
        </w:rPr>
      </w:pPr>
      <w:r>
        <w:rPr>
          <w:rFonts w:ascii="Arial" w:hAnsi="Arial" w:hint="cs"/>
          <w:noProof w:val="0"/>
          <w:rtl/>
        </w:rPr>
        <w:t>3.</w:t>
      </w:r>
      <w:r>
        <w:rPr>
          <w:rFonts w:ascii="Arial" w:hAnsi="Arial" w:hint="cs"/>
          <w:noProof w:val="0"/>
          <w:rtl/>
        </w:rPr>
        <w:tab/>
      </w:r>
      <w:r w:rsidR="0089790D">
        <w:rPr>
          <w:rFonts w:ascii="Arial" w:hAnsi="Arial" w:hint="cs"/>
          <w:noProof w:val="0"/>
          <w:rtl/>
        </w:rPr>
        <w:t>ביום 13.8.15 התייצבו נציגי המוע</w:t>
      </w:r>
      <w:r w:rsidR="00957A93">
        <w:rPr>
          <w:rFonts w:ascii="Arial" w:hAnsi="Arial" w:hint="cs"/>
          <w:noProof w:val="0"/>
          <w:rtl/>
        </w:rPr>
        <w:t xml:space="preserve">צה האזורית שומרון במשרדי המשיב במטרה להגיש תביעה בגין נזקי האש ובמסגרת ביקור ביישוב מולא גם טופס תביעה עבור המערער. </w:t>
      </w:r>
    </w:p>
    <w:p w:rsidR="00957A93" w:rsidRDefault="00957A93" w:rsidP="009B4348">
      <w:pPr>
        <w:spacing w:line="360" w:lineRule="auto"/>
        <w:ind w:left="369" w:hanging="369"/>
        <w:jc w:val="both"/>
        <w:rPr>
          <w:rFonts w:ascii="Arial" w:hAnsi="Arial"/>
          <w:noProof w:val="0"/>
          <w:rtl/>
        </w:rPr>
      </w:pPr>
    </w:p>
    <w:p w:rsidR="009B4348" w:rsidRDefault="00957A93" w:rsidP="009B4348">
      <w:pPr>
        <w:spacing w:line="360" w:lineRule="auto"/>
        <w:ind w:left="369" w:hanging="369"/>
        <w:jc w:val="both"/>
        <w:rPr>
          <w:rFonts w:ascii="Arial" w:hAnsi="Arial"/>
          <w:noProof w:val="0"/>
          <w:rtl/>
        </w:rPr>
      </w:pPr>
      <w:r>
        <w:rPr>
          <w:rFonts w:ascii="Arial" w:hAnsi="Arial" w:hint="cs"/>
          <w:noProof w:val="0"/>
          <w:rtl/>
        </w:rPr>
        <w:t>4.</w:t>
      </w:r>
      <w:r>
        <w:rPr>
          <w:rFonts w:ascii="Arial" w:hAnsi="Arial" w:hint="cs"/>
          <w:noProof w:val="0"/>
          <w:rtl/>
        </w:rPr>
        <w:tab/>
      </w:r>
      <w:r w:rsidR="00E91955">
        <w:rPr>
          <w:rFonts w:ascii="Arial" w:hAnsi="Arial" w:hint="cs"/>
          <w:noProof w:val="0"/>
          <w:rtl/>
        </w:rPr>
        <w:t>ביום 20.9.16</w:t>
      </w:r>
      <w:r w:rsidR="005E6B22">
        <w:rPr>
          <w:rFonts w:ascii="Arial" w:hAnsi="Arial" w:hint="cs"/>
          <w:noProof w:val="0"/>
          <w:rtl/>
        </w:rPr>
        <w:t xml:space="preserve"> פנה ב"כ המערער </w:t>
      </w:r>
      <w:r w:rsidR="00141103">
        <w:rPr>
          <w:rFonts w:ascii="Arial" w:hAnsi="Arial" w:hint="cs"/>
          <w:noProof w:val="0"/>
          <w:rtl/>
        </w:rPr>
        <w:t>אל המשיב והעמיד את סכום התביעה</w:t>
      </w:r>
      <w:r>
        <w:rPr>
          <w:rFonts w:ascii="Arial" w:hAnsi="Arial" w:hint="cs"/>
          <w:noProof w:val="0"/>
          <w:rtl/>
        </w:rPr>
        <w:t xml:space="preserve"> לצורכי פשרה בלבד על סך של 268,157 ש"ח. לפנייה זו צורפה חוות דעת מיום 6.8.16 שערך השמאי מר יעקב ברוכים (להלן: "השמאי ברוכים"). </w:t>
      </w:r>
    </w:p>
    <w:p w:rsidR="00957A93" w:rsidRDefault="00957A93" w:rsidP="009B4348">
      <w:pPr>
        <w:spacing w:line="360" w:lineRule="auto"/>
        <w:ind w:left="369" w:hanging="369"/>
        <w:jc w:val="both"/>
        <w:rPr>
          <w:rFonts w:ascii="Arial" w:hAnsi="Arial"/>
          <w:noProof w:val="0"/>
          <w:rtl/>
        </w:rPr>
      </w:pPr>
    </w:p>
    <w:p w:rsidR="00957A93" w:rsidRDefault="00957A93" w:rsidP="009B4348">
      <w:pPr>
        <w:spacing w:line="360" w:lineRule="auto"/>
        <w:ind w:left="369" w:hanging="369"/>
        <w:jc w:val="both"/>
        <w:rPr>
          <w:rFonts w:ascii="Arial" w:hAnsi="Arial"/>
          <w:noProof w:val="0"/>
          <w:rtl/>
        </w:rPr>
      </w:pPr>
      <w:r>
        <w:rPr>
          <w:rFonts w:ascii="Arial" w:hAnsi="Arial" w:hint="cs"/>
          <w:noProof w:val="0"/>
          <w:rtl/>
        </w:rPr>
        <w:t>5.</w:t>
      </w:r>
      <w:r>
        <w:rPr>
          <w:rFonts w:ascii="Arial" w:hAnsi="Arial" w:hint="cs"/>
          <w:noProof w:val="0"/>
          <w:rtl/>
        </w:rPr>
        <w:tab/>
        <w:t xml:space="preserve">ביום 25.9.16 שלח המשיב למערער מכתב דרישה להמצאת מסמכים לאחר שלדבריו טרם קיבל את המסמכים שדרש לצורך בירור התביעה. </w:t>
      </w:r>
      <w:r w:rsidR="006553E7">
        <w:rPr>
          <w:rFonts w:ascii="Arial" w:hAnsi="Arial" w:hint="cs"/>
          <w:noProof w:val="0"/>
          <w:rtl/>
        </w:rPr>
        <w:t xml:space="preserve">ביום 27.9.16 התקבל מענה מב"כ המערער, לפיו </w:t>
      </w:r>
      <w:r w:rsidR="006553E7">
        <w:rPr>
          <w:rFonts w:ascii="Arial" w:hAnsi="Arial" w:hint="cs"/>
          <w:noProof w:val="0"/>
          <w:rtl/>
        </w:rPr>
        <w:lastRenderedPageBreak/>
        <w:t>אין ברשות המערער שום מסמך נוסף להמציא וכי "</w:t>
      </w:r>
      <w:r w:rsidR="006553E7" w:rsidRPr="00387DBB">
        <w:rPr>
          <w:rFonts w:ascii="Arial" w:hAnsi="Arial" w:hint="cs"/>
          <w:noProof w:val="0"/>
          <w:rtl/>
        </w:rPr>
        <w:t>מדובר בנגריית חובבים שניזוקה ונשרפה</w:t>
      </w:r>
      <w:r w:rsidR="006553E7">
        <w:rPr>
          <w:rFonts w:ascii="Arial" w:hAnsi="Arial" w:hint="cs"/>
          <w:b/>
          <w:bCs/>
          <w:noProof w:val="0"/>
          <w:rtl/>
        </w:rPr>
        <w:t xml:space="preserve"> </w:t>
      </w:r>
      <w:r w:rsidR="006553E7" w:rsidRPr="00387DBB">
        <w:rPr>
          <w:rFonts w:ascii="Arial" w:hAnsi="Arial" w:hint="cs"/>
          <w:noProof w:val="0"/>
          <w:rtl/>
        </w:rPr>
        <w:t>כליל".</w:t>
      </w:r>
      <w:r w:rsidR="006553E7">
        <w:rPr>
          <w:rFonts w:ascii="Arial" w:hAnsi="Arial" w:hint="cs"/>
          <w:noProof w:val="0"/>
          <w:rtl/>
        </w:rPr>
        <w:t xml:space="preserve"> </w:t>
      </w:r>
    </w:p>
    <w:p w:rsidR="00387DBB" w:rsidRDefault="00387DBB" w:rsidP="009B4348">
      <w:pPr>
        <w:spacing w:line="360" w:lineRule="auto"/>
        <w:ind w:left="369" w:hanging="369"/>
        <w:jc w:val="both"/>
        <w:rPr>
          <w:rFonts w:ascii="Arial" w:hAnsi="Arial"/>
          <w:noProof w:val="0"/>
          <w:rtl/>
        </w:rPr>
      </w:pPr>
    </w:p>
    <w:p w:rsidR="00076CD5" w:rsidRDefault="00076CD5" w:rsidP="00387DBB">
      <w:pPr>
        <w:spacing w:line="360" w:lineRule="auto"/>
        <w:ind w:left="369" w:hanging="369"/>
        <w:jc w:val="both"/>
        <w:rPr>
          <w:rFonts w:ascii="Arial" w:hAnsi="Arial"/>
          <w:noProof w:val="0"/>
          <w:rtl/>
        </w:rPr>
      </w:pPr>
      <w:r>
        <w:rPr>
          <w:rFonts w:ascii="Arial" w:hAnsi="Arial" w:hint="cs"/>
          <w:noProof w:val="0"/>
          <w:rtl/>
        </w:rPr>
        <w:t>6.</w:t>
      </w:r>
      <w:r>
        <w:rPr>
          <w:rFonts w:ascii="Arial" w:hAnsi="Arial" w:hint="cs"/>
          <w:noProof w:val="0"/>
          <w:rtl/>
        </w:rPr>
        <w:tab/>
        <w:t xml:space="preserve">ביום 3.10.16 דחה המשיב את התביעה בנימוק כי </w:t>
      </w:r>
      <w:r w:rsidRPr="00076CD5">
        <w:rPr>
          <w:rFonts w:ascii="Arial" w:hAnsi="Arial" w:hint="cs"/>
          <w:noProof w:val="0"/>
          <w:rtl/>
        </w:rPr>
        <w:t xml:space="preserve">לא ניתן לאמוד את הנזק בהעדר מסמכים שנדרשו </w:t>
      </w:r>
      <w:r>
        <w:rPr>
          <w:rFonts w:ascii="Arial" w:hAnsi="Arial" w:hint="cs"/>
          <w:noProof w:val="0"/>
          <w:rtl/>
        </w:rPr>
        <w:t xml:space="preserve">ולאור העובדה </w:t>
      </w:r>
      <w:r w:rsidR="001A1317">
        <w:rPr>
          <w:rFonts w:ascii="Arial" w:hAnsi="Arial" w:hint="cs"/>
          <w:noProof w:val="0"/>
          <w:rtl/>
        </w:rPr>
        <w:t>שהתביעה אינה מ</w:t>
      </w:r>
      <w:r w:rsidR="00387DBB">
        <w:rPr>
          <w:rFonts w:ascii="Arial" w:hAnsi="Arial" w:hint="cs"/>
          <w:noProof w:val="0"/>
          <w:rtl/>
        </w:rPr>
        <w:t>תיישב</w:t>
      </w:r>
      <w:r w:rsidR="001A1317">
        <w:rPr>
          <w:rFonts w:ascii="Arial" w:hAnsi="Arial" w:hint="cs"/>
          <w:noProof w:val="0"/>
          <w:rtl/>
        </w:rPr>
        <w:t xml:space="preserve">ת עם דיווחי </w:t>
      </w:r>
      <w:r w:rsidR="00387DBB">
        <w:rPr>
          <w:rFonts w:ascii="Arial" w:hAnsi="Arial" w:hint="cs"/>
          <w:noProof w:val="0"/>
          <w:rtl/>
        </w:rPr>
        <w:t xml:space="preserve">המערער </w:t>
      </w:r>
      <w:r w:rsidR="001A1317">
        <w:rPr>
          <w:rFonts w:ascii="Arial" w:hAnsi="Arial" w:hint="cs"/>
          <w:noProof w:val="0"/>
          <w:rtl/>
        </w:rPr>
        <w:t xml:space="preserve">לרשויות המס. </w:t>
      </w:r>
    </w:p>
    <w:p w:rsidR="00740AD6" w:rsidRDefault="00740AD6" w:rsidP="00076CD5">
      <w:pPr>
        <w:spacing w:line="360" w:lineRule="auto"/>
        <w:ind w:left="369" w:hanging="369"/>
        <w:jc w:val="both"/>
        <w:rPr>
          <w:rFonts w:ascii="Arial" w:hAnsi="Arial"/>
          <w:noProof w:val="0"/>
          <w:rtl/>
        </w:rPr>
      </w:pPr>
    </w:p>
    <w:p w:rsidR="007F03F2" w:rsidRDefault="00740AD6" w:rsidP="00387DBB">
      <w:pPr>
        <w:spacing w:line="360" w:lineRule="auto"/>
        <w:ind w:left="369" w:hanging="369"/>
        <w:jc w:val="both"/>
        <w:rPr>
          <w:rFonts w:ascii="Arial" w:hAnsi="Arial"/>
          <w:noProof w:val="0"/>
          <w:rtl/>
        </w:rPr>
      </w:pPr>
      <w:r>
        <w:rPr>
          <w:rFonts w:ascii="Arial" w:hAnsi="Arial" w:hint="cs"/>
          <w:noProof w:val="0"/>
          <w:rtl/>
        </w:rPr>
        <w:t>7.</w:t>
      </w:r>
      <w:r>
        <w:rPr>
          <w:rFonts w:ascii="Arial" w:hAnsi="Arial" w:hint="cs"/>
          <w:noProof w:val="0"/>
          <w:rtl/>
        </w:rPr>
        <w:tab/>
        <w:t>בערר שהוגש מטעם המערער חזר המערער על עיקרי העובדות והוסיף כי נזקיו מוערכים בלמעלה מ</w:t>
      </w:r>
      <w:r w:rsidR="00387DBB">
        <w:rPr>
          <w:rFonts w:ascii="Arial" w:hAnsi="Arial" w:hint="cs"/>
          <w:noProof w:val="0"/>
          <w:rtl/>
        </w:rPr>
        <w:t>-</w:t>
      </w:r>
      <w:r>
        <w:rPr>
          <w:rFonts w:ascii="Arial" w:hAnsi="Arial" w:hint="cs"/>
          <w:noProof w:val="0"/>
          <w:rtl/>
        </w:rPr>
        <w:t xml:space="preserve"> 300,000 ש"ח. צוין, כי מדובר בנגריית חובבים וכי המשיב נהג בחוסר הגינות ובחוסר תום לב קיצוני כלפי המערער. </w:t>
      </w:r>
    </w:p>
    <w:p w:rsidR="0076361F" w:rsidRDefault="007F03F2" w:rsidP="0076361F">
      <w:pPr>
        <w:spacing w:line="360" w:lineRule="auto"/>
        <w:ind w:left="369"/>
        <w:jc w:val="both"/>
        <w:rPr>
          <w:rFonts w:ascii="Arial" w:hAnsi="Arial"/>
          <w:noProof w:val="0"/>
          <w:rtl/>
        </w:rPr>
      </w:pPr>
      <w:r>
        <w:rPr>
          <w:rFonts w:ascii="Arial" w:hAnsi="Arial" w:hint="cs"/>
          <w:noProof w:val="0"/>
          <w:rtl/>
        </w:rPr>
        <w:t>בכתב התשובה שהגיש המשיב</w:t>
      </w:r>
      <w:r w:rsidR="006C4D1B">
        <w:rPr>
          <w:rFonts w:ascii="Arial" w:hAnsi="Arial" w:hint="cs"/>
          <w:noProof w:val="0"/>
          <w:rtl/>
        </w:rPr>
        <w:t xml:space="preserve"> לוועדת הערר נטען כי המחזור השנתי המדווח של המערער למע"מ, לשנים 2012 עד 2015, נע בין 18,013 ש"ח לבין 48,450 ש"ח וכי הסכום הנתבע אינו מתיישב עם המחזורים השנתיים המ</w:t>
      </w:r>
      <w:r w:rsidR="00387DBB">
        <w:rPr>
          <w:rFonts w:ascii="Arial" w:hAnsi="Arial" w:hint="cs"/>
          <w:noProof w:val="0"/>
          <w:rtl/>
        </w:rPr>
        <w:t>דווחים בשנים שקדמו לשריפה</w:t>
      </w:r>
      <w:r w:rsidR="006C4D1B">
        <w:rPr>
          <w:rFonts w:ascii="Arial" w:hAnsi="Arial" w:hint="cs"/>
          <w:noProof w:val="0"/>
          <w:rtl/>
        </w:rPr>
        <w:t xml:space="preserve">. </w:t>
      </w:r>
    </w:p>
    <w:p w:rsidR="0076361F" w:rsidRDefault="0076361F" w:rsidP="0076361F">
      <w:pPr>
        <w:spacing w:line="360" w:lineRule="auto"/>
        <w:ind w:left="369"/>
        <w:jc w:val="both"/>
        <w:rPr>
          <w:rFonts w:ascii="Arial" w:hAnsi="Arial"/>
          <w:noProof w:val="0"/>
          <w:rtl/>
        </w:rPr>
      </w:pPr>
    </w:p>
    <w:p w:rsidR="00694556" w:rsidRDefault="0076361F" w:rsidP="00387DBB">
      <w:pPr>
        <w:spacing w:line="360" w:lineRule="auto"/>
        <w:ind w:left="369" w:hanging="369"/>
        <w:jc w:val="both"/>
        <w:rPr>
          <w:rFonts w:ascii="Arial" w:hAnsi="Arial"/>
          <w:noProof w:val="0"/>
          <w:rtl/>
        </w:rPr>
      </w:pPr>
      <w:r>
        <w:rPr>
          <w:rFonts w:ascii="Arial" w:hAnsi="Arial" w:hint="cs"/>
          <w:noProof w:val="0"/>
          <w:rtl/>
        </w:rPr>
        <w:t>8.</w:t>
      </w:r>
      <w:r>
        <w:rPr>
          <w:rFonts w:ascii="Arial" w:hAnsi="Arial"/>
          <w:noProof w:val="0"/>
          <w:rtl/>
        </w:rPr>
        <w:tab/>
      </w:r>
      <w:r>
        <w:rPr>
          <w:rFonts w:ascii="Arial" w:hAnsi="Arial" w:hint="cs"/>
          <w:noProof w:val="0"/>
          <w:rtl/>
        </w:rPr>
        <w:t>ועדת הערר קיימה שני דיוני הוכחות בהם נשמעו עדויות של גב' נעים (מנהלת מוקד מרכז פיצויי פעולות איבה) מטעם המשיב, של העורר ושל השמאי ברוכים וכן עדויות של מר אנטמן שנתן כלי עבודה למערער אותם רכש כ-13 שנה קודם לכן</w:t>
      </w:r>
      <w:r w:rsidR="00E93B91">
        <w:rPr>
          <w:rFonts w:ascii="Arial" w:hAnsi="Arial" w:hint="cs"/>
          <w:noProof w:val="0"/>
          <w:rtl/>
        </w:rPr>
        <w:t xml:space="preserve"> וכן עדותו של מר ינון שטרית</w:t>
      </w:r>
      <w:r w:rsidR="00387DBB">
        <w:rPr>
          <w:rFonts w:ascii="Arial" w:hAnsi="Arial" w:hint="cs"/>
          <w:noProof w:val="0"/>
          <w:rtl/>
        </w:rPr>
        <w:t>,</w:t>
      </w:r>
      <w:r w:rsidR="00E93B91">
        <w:rPr>
          <w:rFonts w:ascii="Arial" w:hAnsi="Arial" w:hint="cs"/>
          <w:noProof w:val="0"/>
          <w:rtl/>
        </w:rPr>
        <w:t xml:space="preserve"> </w:t>
      </w:r>
      <w:r w:rsidR="00387DBB">
        <w:rPr>
          <w:rFonts w:ascii="Arial" w:hAnsi="Arial" w:hint="cs"/>
          <w:noProof w:val="0"/>
          <w:rtl/>
        </w:rPr>
        <w:t>ה</w:t>
      </w:r>
      <w:r w:rsidR="00E93B91">
        <w:rPr>
          <w:rFonts w:ascii="Arial" w:hAnsi="Arial" w:hint="cs"/>
          <w:noProof w:val="0"/>
          <w:rtl/>
        </w:rPr>
        <w:t>שמאי מטעם המשיב</w:t>
      </w:r>
      <w:r w:rsidR="00512A55">
        <w:rPr>
          <w:rFonts w:ascii="Arial" w:hAnsi="Arial" w:hint="cs"/>
          <w:noProof w:val="0"/>
          <w:rtl/>
        </w:rPr>
        <w:t xml:space="preserve"> (</w:t>
      </w:r>
      <w:r w:rsidR="00E93B91">
        <w:rPr>
          <w:rFonts w:ascii="Arial" w:hAnsi="Arial" w:hint="cs"/>
          <w:noProof w:val="0"/>
          <w:rtl/>
        </w:rPr>
        <w:t xml:space="preserve">להלן: "השמאי שטרית"). </w:t>
      </w:r>
    </w:p>
    <w:p w:rsidR="00CD7BA4" w:rsidRDefault="00CD7BA4" w:rsidP="00512A55">
      <w:pPr>
        <w:spacing w:line="360" w:lineRule="auto"/>
        <w:ind w:left="369" w:hanging="369"/>
        <w:jc w:val="both"/>
        <w:rPr>
          <w:rFonts w:ascii="Arial" w:hAnsi="Arial"/>
          <w:noProof w:val="0"/>
          <w:rtl/>
        </w:rPr>
      </w:pPr>
    </w:p>
    <w:p w:rsidR="00CD7BA4" w:rsidRDefault="00CD7BA4" w:rsidP="00512A55">
      <w:pPr>
        <w:spacing w:line="360" w:lineRule="auto"/>
        <w:ind w:left="369" w:hanging="369"/>
        <w:jc w:val="both"/>
        <w:rPr>
          <w:rFonts w:ascii="Arial" w:hAnsi="Arial"/>
          <w:noProof w:val="0"/>
          <w:rtl/>
        </w:rPr>
      </w:pPr>
      <w:r>
        <w:rPr>
          <w:rFonts w:ascii="Arial" w:hAnsi="Arial" w:hint="cs"/>
          <w:noProof w:val="0"/>
          <w:rtl/>
        </w:rPr>
        <w:t>9.</w:t>
      </w:r>
      <w:r>
        <w:rPr>
          <w:rFonts w:ascii="Arial" w:hAnsi="Arial" w:hint="cs"/>
          <w:noProof w:val="0"/>
          <w:rtl/>
        </w:rPr>
        <w:tab/>
        <w:t>הוועדה ציינה בהחלטה, כי הצדדים אינם חלוקים על עצם קיומו של "</w:t>
      </w:r>
      <w:r>
        <w:rPr>
          <w:rFonts w:ascii="Arial" w:hAnsi="Arial" w:hint="cs"/>
          <w:b/>
          <w:bCs/>
          <w:noProof w:val="0"/>
          <w:rtl/>
        </w:rPr>
        <w:t>נזק מלחמה</w:t>
      </w:r>
      <w:r>
        <w:rPr>
          <w:rFonts w:ascii="Arial" w:hAnsi="Arial" w:hint="cs"/>
          <w:noProof w:val="0"/>
          <w:rtl/>
        </w:rPr>
        <w:t xml:space="preserve">" שנגרם לתכולת בית המלאכה והמחלוקת שבין הצדדים מתמקדת ביכולת לאמוד את היקף הנזק הנתבע. </w:t>
      </w:r>
    </w:p>
    <w:p w:rsidR="00F9007F" w:rsidRDefault="00F9007F" w:rsidP="00AD3C2E">
      <w:pPr>
        <w:spacing w:line="360" w:lineRule="auto"/>
        <w:ind w:left="369" w:hanging="369"/>
        <w:jc w:val="both"/>
        <w:rPr>
          <w:rFonts w:ascii="Arial" w:hAnsi="Arial"/>
          <w:noProof w:val="0"/>
          <w:rtl/>
        </w:rPr>
      </w:pPr>
      <w:r>
        <w:rPr>
          <w:rFonts w:ascii="Arial" w:hAnsi="Arial"/>
          <w:noProof w:val="0"/>
          <w:rtl/>
        </w:rPr>
        <w:tab/>
      </w:r>
      <w:r>
        <w:rPr>
          <w:rFonts w:ascii="Arial" w:hAnsi="Arial" w:hint="cs"/>
          <w:noProof w:val="0"/>
          <w:rtl/>
        </w:rPr>
        <w:t>באשר לעדות המערער</w:t>
      </w:r>
      <w:r w:rsidR="00AD3C2E">
        <w:rPr>
          <w:rFonts w:ascii="Arial" w:hAnsi="Arial" w:hint="cs"/>
          <w:noProof w:val="0"/>
          <w:rtl/>
        </w:rPr>
        <w:t xml:space="preserve">, </w:t>
      </w:r>
      <w:r>
        <w:rPr>
          <w:rFonts w:ascii="Arial" w:hAnsi="Arial" w:hint="cs"/>
          <w:noProof w:val="0"/>
          <w:rtl/>
        </w:rPr>
        <w:t>התרשמות הוועדה הייתה כי עדות זו לקתה בשיתוף פעולה חלקי בלבד, התחמקות מלהשיב לשאלות מסוימות ובזיכרון סלקטיבי. בנוסף צוין בהחלטה, כי הוועדה רואה קושי של ממש בעובדה שמסמכים משמעותיים לא הומצאו על ידי המערער</w:t>
      </w:r>
      <w:r w:rsidR="00387DBB">
        <w:rPr>
          <w:rFonts w:ascii="Arial" w:hAnsi="Arial" w:hint="cs"/>
          <w:noProof w:val="0"/>
          <w:rtl/>
        </w:rPr>
        <w:t>,</w:t>
      </w:r>
      <w:r>
        <w:rPr>
          <w:rFonts w:ascii="Arial" w:hAnsi="Arial" w:hint="cs"/>
          <w:noProof w:val="0"/>
          <w:rtl/>
        </w:rPr>
        <w:t xml:space="preserve"> כגון: חשבוניות וקבלות, על אף החובה לשמור מסמכים אלה בהתאם להוראות הדין. </w:t>
      </w:r>
    </w:p>
    <w:p w:rsidR="00AD3C2E" w:rsidRDefault="00AD3C2E" w:rsidP="00AD3C2E">
      <w:pPr>
        <w:spacing w:line="360" w:lineRule="auto"/>
        <w:ind w:left="369" w:hanging="369"/>
        <w:jc w:val="both"/>
        <w:rPr>
          <w:rFonts w:ascii="Arial" w:hAnsi="Arial"/>
          <w:noProof w:val="0"/>
          <w:rtl/>
        </w:rPr>
      </w:pPr>
      <w:r>
        <w:rPr>
          <w:rFonts w:ascii="Arial" w:hAnsi="Arial"/>
          <w:noProof w:val="0"/>
          <w:rtl/>
        </w:rPr>
        <w:tab/>
      </w:r>
      <w:r>
        <w:rPr>
          <w:rFonts w:ascii="Arial" w:hAnsi="Arial" w:hint="cs"/>
          <w:noProof w:val="0"/>
          <w:rtl/>
        </w:rPr>
        <w:t xml:space="preserve">באשר לעדותו של השמאי ברוכים </w:t>
      </w:r>
      <w:r>
        <w:rPr>
          <w:rFonts w:ascii="Arial" w:hAnsi="Arial"/>
          <w:noProof w:val="0"/>
          <w:rtl/>
        </w:rPr>
        <w:t>–</w:t>
      </w:r>
      <w:r>
        <w:rPr>
          <w:rFonts w:ascii="Arial" w:hAnsi="Arial" w:hint="cs"/>
          <w:noProof w:val="0"/>
          <w:rtl/>
        </w:rPr>
        <w:t xml:space="preserve"> קבעה הוועדה כי מעדותו הוברר כי מרביתם המכריע של אותם פריטים אשר צוינו בחוות דעתו כלל לא נצפו על ידו במקום השריפה עת ביקר במקום ביום 21.8.15, אלא הם נכללו בחוות דעתו בהסתמך על רשימה מפורטת אותה קיבל מהמערער עצמו. </w:t>
      </w:r>
    </w:p>
    <w:p w:rsidR="00AD3C2E" w:rsidRDefault="00AD3C2E" w:rsidP="00AD3C2E">
      <w:pPr>
        <w:spacing w:line="360" w:lineRule="auto"/>
        <w:ind w:left="369" w:hanging="369"/>
        <w:jc w:val="both"/>
        <w:rPr>
          <w:rFonts w:ascii="Arial" w:hAnsi="Arial"/>
          <w:noProof w:val="0"/>
          <w:rtl/>
        </w:rPr>
      </w:pPr>
      <w:r>
        <w:rPr>
          <w:rFonts w:ascii="Arial" w:hAnsi="Arial"/>
          <w:noProof w:val="0"/>
          <w:rtl/>
        </w:rPr>
        <w:tab/>
      </w:r>
      <w:r>
        <w:rPr>
          <w:rFonts w:ascii="Arial" w:hAnsi="Arial" w:hint="cs"/>
          <w:noProof w:val="0"/>
          <w:rtl/>
        </w:rPr>
        <w:t xml:space="preserve">באשר לראיות המשיב, התרשמה הוועדה כי מדובר בראיות שהובאו בצורה ישירה ומדוייקת וכי ההתייחסות לתביעת המערער הייתה מקצועית וללא כל דופי ובכל מקרה, לא לקתה בחוסר תום לב כלפי המערער. </w:t>
      </w:r>
    </w:p>
    <w:p w:rsidR="00AD3C2E" w:rsidRDefault="00AD3C2E" w:rsidP="00AD3C2E">
      <w:pPr>
        <w:spacing w:line="360" w:lineRule="auto"/>
        <w:ind w:left="369" w:hanging="369"/>
        <w:jc w:val="both"/>
        <w:rPr>
          <w:rFonts w:ascii="Arial" w:hAnsi="Arial"/>
          <w:noProof w:val="0"/>
          <w:rtl/>
        </w:rPr>
      </w:pPr>
    </w:p>
    <w:p w:rsidR="00AD3C2E" w:rsidRDefault="00AD3C2E" w:rsidP="00387DBB">
      <w:pPr>
        <w:spacing w:line="360" w:lineRule="auto"/>
        <w:ind w:left="369" w:hanging="369"/>
        <w:jc w:val="both"/>
        <w:rPr>
          <w:rFonts w:ascii="Arial" w:hAnsi="Arial"/>
          <w:noProof w:val="0"/>
          <w:rtl/>
        </w:rPr>
      </w:pPr>
      <w:r>
        <w:rPr>
          <w:rFonts w:ascii="Arial" w:hAnsi="Arial" w:hint="cs"/>
          <w:noProof w:val="0"/>
          <w:rtl/>
        </w:rPr>
        <w:lastRenderedPageBreak/>
        <w:t>10.</w:t>
      </w:r>
      <w:r>
        <w:rPr>
          <w:rFonts w:ascii="Arial" w:hAnsi="Arial" w:hint="cs"/>
          <w:noProof w:val="0"/>
          <w:rtl/>
        </w:rPr>
        <w:tab/>
      </w:r>
      <w:r w:rsidR="001A322A">
        <w:rPr>
          <w:rFonts w:ascii="Arial" w:hAnsi="Arial" w:hint="cs"/>
          <w:noProof w:val="0"/>
          <w:rtl/>
        </w:rPr>
        <w:t xml:space="preserve">הוועדה קבעה בהחלטה כי </w:t>
      </w:r>
      <w:r w:rsidR="000B71DC">
        <w:rPr>
          <w:rFonts w:ascii="Arial" w:hAnsi="Arial" w:hint="cs"/>
          <w:noProof w:val="0"/>
          <w:rtl/>
        </w:rPr>
        <w:t xml:space="preserve">התמונות שצילם השמאי שטרית בעת ביקורו במקום ביום 16.8.15 וכן התמונות שצילם השמאי ברוכים בעת ביקורו במקום ביום 21.8.15 </w:t>
      </w:r>
      <w:r w:rsidR="000B71DC">
        <w:rPr>
          <w:rFonts w:ascii="Arial" w:hAnsi="Arial"/>
          <w:noProof w:val="0"/>
          <w:rtl/>
        </w:rPr>
        <w:t>–</w:t>
      </w:r>
      <w:r w:rsidR="000B71DC">
        <w:rPr>
          <w:rFonts w:ascii="Arial" w:hAnsi="Arial" w:hint="cs"/>
          <w:noProof w:val="0"/>
          <w:rtl/>
        </w:rPr>
        <w:t xml:space="preserve"> הן הראיות האובייקטיביות המהימנות ביותר עליהן ניתן להס</w:t>
      </w:r>
      <w:r w:rsidR="00387DBB">
        <w:rPr>
          <w:rFonts w:ascii="Arial" w:hAnsi="Arial" w:hint="cs"/>
          <w:noProof w:val="0"/>
          <w:rtl/>
        </w:rPr>
        <w:t>ת</w:t>
      </w:r>
      <w:r w:rsidR="000B71DC">
        <w:rPr>
          <w:rFonts w:ascii="Arial" w:hAnsi="Arial" w:hint="cs"/>
          <w:noProof w:val="0"/>
          <w:rtl/>
        </w:rPr>
        <w:t xml:space="preserve">מך לשם ההכרעה בערר, זאת לצד תרשומת בכתב יד שערך השמאי שטרית במועד הנ"ל ולפיה, זוהו במקום הפריטים הבאים: מקדחת עמוד; מסור שולחני; מכונת ליטוש; מדחס אוויר ושרידי עצים. עוד קבעה הוועדה, כי היעדר מסמכים חיוניים לניהול עסקו של המערער (קבלות, הזמנות עבודה וכיו"ב), לצד העובדה כי המערער לא הביא ראיות נוספות </w:t>
      </w:r>
      <w:r w:rsidR="00387DBB">
        <w:rPr>
          <w:rFonts w:ascii="Arial" w:hAnsi="Arial" w:hint="cs"/>
          <w:noProof w:val="0"/>
          <w:rtl/>
        </w:rPr>
        <w:t>(</w:t>
      </w:r>
      <w:r w:rsidR="000B71DC">
        <w:rPr>
          <w:rFonts w:ascii="Arial" w:hAnsi="Arial" w:hint="cs"/>
          <w:noProof w:val="0"/>
          <w:rtl/>
        </w:rPr>
        <w:t>כגון: עדים שיעידו אודות הזמנות עבודה שקיבל</w:t>
      </w:r>
      <w:r w:rsidR="00387DBB">
        <w:rPr>
          <w:rFonts w:ascii="Arial" w:hAnsi="Arial" w:hint="cs"/>
          <w:noProof w:val="0"/>
          <w:rtl/>
        </w:rPr>
        <w:t>)</w:t>
      </w:r>
      <w:r w:rsidR="000B71DC">
        <w:rPr>
          <w:rFonts w:ascii="Arial" w:hAnsi="Arial" w:hint="cs"/>
          <w:noProof w:val="0"/>
          <w:rtl/>
        </w:rPr>
        <w:t xml:space="preserve">, עלולים ללמד על העדר שקיפות ועל ניסיון להסתיר מידע ואינם מתיישבים עם סכום הפיצוי הנתבע על ידו. עוד נקבע בהחלטה, כי הציוד שנמצא היה רובו ככולו ציוד ישן שנרכש מספר שנים קודם לשריפה הנטענת וחלקו ניתן למערער בהשאלה לתקופה בלתי קצובה על ידי מר אלטמן. כמו כן נקבע בהחלטה, כי מדוח רווח והפסד לשנת 2014 של המערער, נלמד כי מדובר בעסק מפסיד וכי הצהרת המערער לפיה רווחיו מבית המלאכה היו בסכום ממוצע בסך של 3,000 ש"ח לחודש ("נקי"), אינה נתמכת בדוחות כספיים של העסק, שכן מהדוח הכספי נלמד כי מדובר בעסק מפסיד. </w:t>
      </w:r>
    </w:p>
    <w:p w:rsidR="000B71DC" w:rsidRDefault="000B71DC" w:rsidP="000B71DC">
      <w:pPr>
        <w:spacing w:line="360" w:lineRule="auto"/>
        <w:ind w:left="369" w:hanging="369"/>
        <w:jc w:val="both"/>
        <w:rPr>
          <w:rFonts w:ascii="Arial" w:hAnsi="Arial"/>
          <w:noProof w:val="0"/>
          <w:rtl/>
        </w:rPr>
      </w:pPr>
    </w:p>
    <w:p w:rsidR="000B71DC" w:rsidRDefault="000B71DC" w:rsidP="00940811">
      <w:pPr>
        <w:spacing w:line="360" w:lineRule="auto"/>
        <w:ind w:left="369" w:hanging="369"/>
        <w:jc w:val="both"/>
        <w:rPr>
          <w:rFonts w:ascii="Arial" w:hAnsi="Arial"/>
          <w:noProof w:val="0"/>
          <w:rtl/>
        </w:rPr>
      </w:pPr>
      <w:r>
        <w:rPr>
          <w:rFonts w:ascii="Arial" w:hAnsi="Arial" w:hint="cs"/>
          <w:noProof w:val="0"/>
          <w:rtl/>
        </w:rPr>
        <w:t>11.</w:t>
      </w:r>
      <w:r>
        <w:rPr>
          <w:rFonts w:ascii="Arial" w:hAnsi="Arial" w:hint="cs"/>
          <w:noProof w:val="0"/>
          <w:rtl/>
        </w:rPr>
        <w:tab/>
        <w:t>לאור כל האמור</w:t>
      </w:r>
      <w:r w:rsidR="008F0C3B">
        <w:rPr>
          <w:rFonts w:ascii="Arial" w:hAnsi="Arial" w:hint="cs"/>
          <w:noProof w:val="0"/>
          <w:rtl/>
        </w:rPr>
        <w:t xml:space="preserve"> קבעה הוועדה כי לא עלה בידי המערער להוכיח את תביעתו ברמת הוכחה של מאזן הסתברויות. </w:t>
      </w:r>
      <w:r w:rsidR="00015DE1">
        <w:rPr>
          <w:rFonts w:ascii="Arial" w:hAnsi="Arial" w:hint="cs"/>
          <w:noProof w:val="0"/>
          <w:rtl/>
        </w:rPr>
        <w:t xml:space="preserve">יחד עם זאת, </w:t>
      </w:r>
      <w:r w:rsidR="0076185E">
        <w:rPr>
          <w:rFonts w:ascii="Arial" w:hAnsi="Arial" w:hint="cs"/>
          <w:noProof w:val="0"/>
          <w:rtl/>
        </w:rPr>
        <w:t>נקבע כי הואיל והפריטים שהיו בעסקו של המערער ניזוקו מ"</w:t>
      </w:r>
      <w:r w:rsidR="0076185E">
        <w:rPr>
          <w:rFonts w:ascii="Arial" w:hAnsi="Arial" w:hint="cs"/>
          <w:b/>
          <w:bCs/>
          <w:noProof w:val="0"/>
          <w:rtl/>
        </w:rPr>
        <w:t>נזק מלחמה</w:t>
      </w:r>
      <w:r w:rsidR="0076185E">
        <w:rPr>
          <w:rFonts w:ascii="Arial" w:hAnsi="Arial" w:hint="cs"/>
          <w:noProof w:val="0"/>
          <w:rtl/>
        </w:rPr>
        <w:t>", על הוועדה לבחון האם ניתן לאמוד את הנזק באופן חלקי, על בסיס הממצאים העובדתיים שנקבעו ועל בסיס ראיות ומוצגים שנמצאו מהימנים. הוועדה "</w:t>
      </w:r>
      <w:r w:rsidR="0076185E" w:rsidRPr="00940811">
        <w:rPr>
          <w:rFonts w:ascii="Arial" w:hAnsi="Arial" w:hint="cs"/>
          <w:noProof w:val="0"/>
          <w:rtl/>
        </w:rPr>
        <w:t>חילצה</w:t>
      </w:r>
      <w:r w:rsidR="0076185E">
        <w:rPr>
          <w:rFonts w:ascii="Arial" w:hAnsi="Arial" w:hint="cs"/>
          <w:noProof w:val="0"/>
          <w:rtl/>
        </w:rPr>
        <w:t xml:space="preserve">" רשימה של 14 </w:t>
      </w:r>
      <w:r w:rsidR="00940811">
        <w:rPr>
          <w:rFonts w:ascii="Arial" w:hAnsi="Arial" w:hint="cs"/>
          <w:noProof w:val="0"/>
          <w:rtl/>
        </w:rPr>
        <w:t>פרטי</w:t>
      </w:r>
      <w:r w:rsidR="0076185E">
        <w:rPr>
          <w:rFonts w:ascii="Arial" w:hAnsi="Arial" w:hint="cs"/>
          <w:noProof w:val="0"/>
          <w:rtl/>
        </w:rPr>
        <w:t xml:space="preserve"> ציוד ומלאי אשר שרידיהם נצפו במקום באמצעות התמונות שצולמו ע"י השמאים והתרשומת בכתב יד שערך השמאי שטרית. </w:t>
      </w:r>
      <w:r w:rsidR="006D0FB6">
        <w:rPr>
          <w:rFonts w:ascii="Arial" w:hAnsi="Arial" w:hint="cs"/>
          <w:noProof w:val="0"/>
          <w:rtl/>
        </w:rPr>
        <w:t xml:space="preserve">חבר הוועדה, השמאי יצחק דגון, ביצע הערכת שווי על בסיס הראיות שהיו לפני הוועדה והנתונים פורטו בטבלה שנכללה בפסקה 36 להחלטת הוועדה. </w:t>
      </w:r>
      <w:r w:rsidR="0055172E">
        <w:rPr>
          <w:rFonts w:ascii="Arial" w:hAnsi="Arial" w:hint="cs"/>
          <w:noProof w:val="0"/>
          <w:rtl/>
        </w:rPr>
        <w:t xml:space="preserve">נקבע כי שווים </w:t>
      </w:r>
      <w:r w:rsidR="00940811">
        <w:rPr>
          <w:rFonts w:ascii="Arial" w:hAnsi="Arial" w:hint="cs"/>
          <w:noProof w:val="0"/>
          <w:rtl/>
        </w:rPr>
        <w:t xml:space="preserve">הכולל </w:t>
      </w:r>
      <w:r w:rsidR="0055172E">
        <w:rPr>
          <w:rFonts w:ascii="Arial" w:hAnsi="Arial" w:hint="cs"/>
          <w:noProof w:val="0"/>
          <w:rtl/>
        </w:rPr>
        <w:t xml:space="preserve">של 14 פרטי הציוד הנו בסך 26,100 ש"ח. </w:t>
      </w:r>
    </w:p>
    <w:p w:rsidR="0055172E" w:rsidRDefault="0055172E" w:rsidP="0055172E">
      <w:pPr>
        <w:spacing w:line="360" w:lineRule="auto"/>
        <w:ind w:left="369" w:hanging="369"/>
        <w:jc w:val="both"/>
        <w:rPr>
          <w:rFonts w:ascii="Arial" w:hAnsi="Arial"/>
          <w:noProof w:val="0"/>
          <w:rtl/>
        </w:rPr>
      </w:pPr>
    </w:p>
    <w:p w:rsidR="0055172E" w:rsidRDefault="0055172E" w:rsidP="00940811">
      <w:pPr>
        <w:spacing w:line="360" w:lineRule="auto"/>
        <w:ind w:left="369" w:hanging="369"/>
        <w:jc w:val="both"/>
        <w:rPr>
          <w:rFonts w:ascii="Arial" w:hAnsi="Arial"/>
          <w:noProof w:val="0"/>
          <w:rtl/>
        </w:rPr>
      </w:pPr>
      <w:r>
        <w:rPr>
          <w:rFonts w:ascii="Arial" w:hAnsi="Arial" w:hint="cs"/>
          <w:noProof w:val="0"/>
          <w:rtl/>
        </w:rPr>
        <w:t>12.</w:t>
      </w:r>
      <w:r>
        <w:rPr>
          <w:rFonts w:ascii="Arial" w:hAnsi="Arial" w:hint="cs"/>
          <w:noProof w:val="0"/>
          <w:rtl/>
        </w:rPr>
        <w:tab/>
        <w:t>לצד זאת, החליטה הוועדה לדחות את ראשי הנזק העקיף שנתבעו על ידי המערער, מאחר והישוב בו אירעה השריפה, אינו "</w:t>
      </w:r>
      <w:r>
        <w:rPr>
          <w:rFonts w:ascii="Arial" w:hAnsi="Arial" w:hint="cs"/>
          <w:b/>
          <w:bCs/>
          <w:noProof w:val="0"/>
          <w:rtl/>
        </w:rPr>
        <w:t>ישוב ספר</w:t>
      </w:r>
      <w:r>
        <w:rPr>
          <w:rFonts w:ascii="Arial" w:hAnsi="Arial" w:hint="cs"/>
          <w:noProof w:val="0"/>
          <w:rtl/>
        </w:rPr>
        <w:t xml:space="preserve">" ולפיכך לא </w:t>
      </w:r>
      <w:r w:rsidR="00940811">
        <w:rPr>
          <w:rFonts w:ascii="Arial" w:hAnsi="Arial" w:hint="cs"/>
          <w:noProof w:val="0"/>
          <w:rtl/>
        </w:rPr>
        <w:t>ק</w:t>
      </w:r>
      <w:r>
        <w:rPr>
          <w:rFonts w:ascii="Arial" w:hAnsi="Arial" w:hint="cs"/>
          <w:noProof w:val="0"/>
          <w:rtl/>
        </w:rPr>
        <w:t xml:space="preserve">מה זכות פיצוי לראשי הנזק העקיף. סיכומו של דבר, הוועדה החליטה לקבל את הערר באופן חלקי, כך שגובה הפיצוי למערער על כלל הציוד שהיה בבית המלאכה ונשרף יעמוד על סך של 26,100 ש"ח. </w:t>
      </w:r>
    </w:p>
    <w:p w:rsidR="0055172E" w:rsidRDefault="0055172E" w:rsidP="0055172E">
      <w:pPr>
        <w:spacing w:line="360" w:lineRule="auto"/>
        <w:ind w:left="369" w:hanging="369"/>
        <w:jc w:val="both"/>
        <w:rPr>
          <w:rFonts w:ascii="Arial" w:hAnsi="Arial"/>
          <w:noProof w:val="0"/>
          <w:rtl/>
        </w:rPr>
      </w:pPr>
    </w:p>
    <w:p w:rsidR="0055172E" w:rsidRDefault="0055172E" w:rsidP="0055172E">
      <w:pPr>
        <w:spacing w:line="360" w:lineRule="auto"/>
        <w:ind w:left="369" w:hanging="369"/>
        <w:jc w:val="both"/>
        <w:rPr>
          <w:rFonts w:ascii="Arial" w:hAnsi="Arial"/>
          <w:noProof w:val="0"/>
          <w:rtl/>
        </w:rPr>
      </w:pPr>
      <w:r w:rsidRPr="00D46D6D">
        <w:rPr>
          <w:rFonts w:ascii="Arial" w:hAnsi="Arial" w:hint="cs"/>
          <w:b/>
          <w:bCs/>
          <w:noProof w:val="0"/>
          <w:u w:val="single"/>
          <w:rtl/>
        </w:rPr>
        <w:t>טענות הצדדים</w:t>
      </w:r>
      <w:r w:rsidR="00940811" w:rsidRPr="00940811">
        <w:rPr>
          <w:rFonts w:ascii="Arial" w:hAnsi="Arial" w:hint="cs"/>
          <w:b/>
          <w:bCs/>
          <w:noProof w:val="0"/>
          <w:u w:val="single"/>
          <w:rtl/>
        </w:rPr>
        <w:t xml:space="preserve"> בתמצית</w:t>
      </w:r>
    </w:p>
    <w:p w:rsidR="0055172E" w:rsidRDefault="00863B16" w:rsidP="00863B16">
      <w:pPr>
        <w:spacing w:line="360" w:lineRule="auto"/>
        <w:ind w:left="369" w:hanging="369"/>
        <w:jc w:val="both"/>
        <w:rPr>
          <w:rFonts w:ascii="Arial" w:hAnsi="Arial"/>
          <w:noProof w:val="0"/>
          <w:rtl/>
        </w:rPr>
      </w:pPr>
      <w:r>
        <w:rPr>
          <w:rFonts w:ascii="Arial" w:hAnsi="Arial" w:hint="cs"/>
          <w:noProof w:val="0"/>
          <w:rtl/>
        </w:rPr>
        <w:t>13.</w:t>
      </w:r>
      <w:r>
        <w:rPr>
          <w:rFonts w:ascii="Arial" w:hAnsi="Arial" w:hint="cs"/>
          <w:noProof w:val="0"/>
          <w:rtl/>
        </w:rPr>
        <w:tab/>
        <w:t>לטענת המערער</w:t>
      </w:r>
      <w:r w:rsidR="00940811">
        <w:rPr>
          <w:rFonts w:ascii="Arial" w:hAnsi="Arial" w:hint="cs"/>
          <w:noProof w:val="0"/>
          <w:rtl/>
        </w:rPr>
        <w:t>,</w:t>
      </w:r>
      <w:r>
        <w:rPr>
          <w:rFonts w:ascii="Arial" w:hAnsi="Arial" w:hint="cs"/>
          <w:noProof w:val="0"/>
          <w:rtl/>
        </w:rPr>
        <w:t xml:space="preserve"> חוות הדעת היחידה שעמדה לפני הוועדה הייתה של השמאי מטעמו ולא היה מקום שלא לקבלה במלואה ולקבוע את נזקיו הישירים שנגרמו למערער בסך 195,939 ש"ח בהתאם לאותה חוות דעת. נטען כי ועדת הערר התעלמה מסירוב המשיב להמציא חוות דעת </w:t>
      </w:r>
      <w:r>
        <w:rPr>
          <w:rFonts w:ascii="Arial" w:hAnsi="Arial" w:hint="cs"/>
          <w:noProof w:val="0"/>
          <w:rtl/>
        </w:rPr>
        <w:lastRenderedPageBreak/>
        <w:t xml:space="preserve">מטעמו חרף העובדה, ששמאי מטעמו הגיע לבית המלאכה </w:t>
      </w:r>
      <w:r w:rsidR="00B64668">
        <w:rPr>
          <w:rFonts w:ascii="Arial" w:hAnsi="Arial" w:hint="cs"/>
          <w:noProof w:val="0"/>
          <w:rtl/>
        </w:rPr>
        <w:t>ה</w:t>
      </w:r>
      <w:r>
        <w:rPr>
          <w:rFonts w:ascii="Arial" w:hAnsi="Arial" w:hint="cs"/>
          <w:noProof w:val="0"/>
          <w:rtl/>
        </w:rPr>
        <w:t xml:space="preserve">סמוך לשריפה וצילם תמונות רבות של הנזקים. </w:t>
      </w:r>
      <w:r w:rsidR="00B64668">
        <w:rPr>
          <w:rFonts w:ascii="Arial" w:hAnsi="Arial" w:hint="cs"/>
          <w:noProof w:val="0"/>
          <w:rtl/>
        </w:rPr>
        <w:t xml:space="preserve">עוד נטען כי שגתה הוועדה בהסתמכה על הערכת השווי של חבר ועדת הערר. </w:t>
      </w:r>
    </w:p>
    <w:p w:rsidR="00B64668" w:rsidRDefault="00B64668" w:rsidP="00863B16">
      <w:pPr>
        <w:spacing w:line="360" w:lineRule="auto"/>
        <w:ind w:left="369" w:hanging="369"/>
        <w:jc w:val="both"/>
        <w:rPr>
          <w:rFonts w:ascii="Arial" w:hAnsi="Arial"/>
          <w:noProof w:val="0"/>
          <w:rtl/>
        </w:rPr>
      </w:pPr>
    </w:p>
    <w:p w:rsidR="00B64668" w:rsidRDefault="00B64668" w:rsidP="00B64668">
      <w:pPr>
        <w:spacing w:line="360" w:lineRule="auto"/>
        <w:ind w:left="369" w:hanging="369"/>
        <w:jc w:val="both"/>
        <w:rPr>
          <w:rFonts w:ascii="Arial" w:hAnsi="Arial"/>
          <w:noProof w:val="0"/>
          <w:rtl/>
        </w:rPr>
      </w:pPr>
      <w:r>
        <w:rPr>
          <w:rFonts w:ascii="Arial" w:hAnsi="Arial" w:hint="cs"/>
          <w:noProof w:val="0"/>
          <w:rtl/>
        </w:rPr>
        <w:t>14.</w:t>
      </w:r>
      <w:r>
        <w:rPr>
          <w:rFonts w:ascii="Arial" w:hAnsi="Arial" w:hint="cs"/>
          <w:noProof w:val="0"/>
          <w:rtl/>
        </w:rPr>
        <w:tab/>
        <w:t>בנוסף טען המערער כי הוועדה שגתה בקביעתה כי העדר מסמכים חיוניים לניהול עסק כאמור, עלולים ללמד על העדר שקיפות וניסיון להסתיר מידע, תוך התעלמות מהעובדה שמדובר ב"</w:t>
      </w:r>
      <w:r w:rsidRPr="00940811">
        <w:rPr>
          <w:rFonts w:ascii="Arial" w:hAnsi="Arial" w:hint="cs"/>
          <w:noProof w:val="0"/>
          <w:rtl/>
        </w:rPr>
        <w:t>נגריה קטנה</w:t>
      </w:r>
      <w:r>
        <w:rPr>
          <w:rFonts w:ascii="Arial" w:hAnsi="Arial" w:hint="cs"/>
          <w:noProof w:val="0"/>
          <w:rtl/>
        </w:rPr>
        <w:t xml:space="preserve">" ומכך שמדובר </w:t>
      </w:r>
      <w:r w:rsidR="003F4CCB">
        <w:rPr>
          <w:rFonts w:ascii="Arial" w:hAnsi="Arial" w:hint="cs"/>
          <w:noProof w:val="0"/>
          <w:rtl/>
        </w:rPr>
        <w:t xml:space="preserve">בעולה חדש בגיל 70 שנה. </w:t>
      </w:r>
    </w:p>
    <w:p w:rsidR="006664E1" w:rsidRDefault="006664E1" w:rsidP="00B64668">
      <w:pPr>
        <w:spacing w:line="360" w:lineRule="auto"/>
        <w:ind w:left="369" w:hanging="369"/>
        <w:jc w:val="both"/>
        <w:rPr>
          <w:rFonts w:ascii="Arial" w:hAnsi="Arial"/>
          <w:noProof w:val="0"/>
          <w:rtl/>
        </w:rPr>
      </w:pPr>
    </w:p>
    <w:p w:rsidR="006664E1" w:rsidRDefault="006664E1" w:rsidP="00B64668">
      <w:pPr>
        <w:spacing w:line="360" w:lineRule="auto"/>
        <w:ind w:left="369" w:hanging="369"/>
        <w:jc w:val="both"/>
        <w:rPr>
          <w:rFonts w:ascii="Arial" w:hAnsi="Arial"/>
          <w:noProof w:val="0"/>
          <w:rtl/>
        </w:rPr>
      </w:pPr>
      <w:r>
        <w:rPr>
          <w:rFonts w:ascii="Arial" w:hAnsi="Arial" w:hint="cs"/>
          <w:noProof w:val="0"/>
          <w:rtl/>
        </w:rPr>
        <w:t>15.</w:t>
      </w:r>
      <w:r>
        <w:rPr>
          <w:rFonts w:ascii="Arial" w:hAnsi="Arial" w:hint="cs"/>
          <w:noProof w:val="0"/>
          <w:rtl/>
        </w:rPr>
        <w:tab/>
        <w:t>כמו כן טען המערער כי שגתה הוועדה בעת ששללה מהמערער את הפיצוי על הנזק העקיף בטענה כי הישוב אלון מורה אינו "</w:t>
      </w:r>
      <w:r>
        <w:rPr>
          <w:rFonts w:ascii="Arial" w:hAnsi="Arial" w:hint="cs"/>
          <w:b/>
          <w:bCs/>
          <w:noProof w:val="0"/>
          <w:rtl/>
        </w:rPr>
        <w:t>ישוב ספר</w:t>
      </w:r>
      <w:r>
        <w:rPr>
          <w:rFonts w:ascii="Arial" w:hAnsi="Arial" w:hint="cs"/>
          <w:noProof w:val="0"/>
          <w:rtl/>
        </w:rPr>
        <w:t xml:space="preserve">" חרף מיקומו </w:t>
      </w:r>
      <w:r w:rsidR="00E22C36">
        <w:rPr>
          <w:rFonts w:ascii="Arial" w:hAnsi="Arial" w:hint="cs"/>
          <w:noProof w:val="0"/>
          <w:rtl/>
        </w:rPr>
        <w:t xml:space="preserve">בתחומי יהודה ושומרון. </w:t>
      </w:r>
    </w:p>
    <w:p w:rsidR="00E22C36" w:rsidRDefault="00E22C36" w:rsidP="00B64668">
      <w:pPr>
        <w:spacing w:line="360" w:lineRule="auto"/>
        <w:ind w:left="369" w:hanging="369"/>
        <w:jc w:val="both"/>
        <w:rPr>
          <w:rFonts w:ascii="Arial" w:hAnsi="Arial"/>
          <w:noProof w:val="0"/>
          <w:rtl/>
        </w:rPr>
      </w:pPr>
    </w:p>
    <w:p w:rsidR="00E22C36" w:rsidRDefault="00E22C36" w:rsidP="00940811">
      <w:pPr>
        <w:spacing w:line="360" w:lineRule="auto"/>
        <w:ind w:left="369" w:hanging="369"/>
        <w:jc w:val="both"/>
        <w:rPr>
          <w:rFonts w:ascii="Arial" w:hAnsi="Arial"/>
          <w:noProof w:val="0"/>
          <w:rtl/>
        </w:rPr>
      </w:pPr>
      <w:r>
        <w:rPr>
          <w:rFonts w:ascii="Arial" w:hAnsi="Arial" w:hint="cs"/>
          <w:noProof w:val="0"/>
          <w:rtl/>
        </w:rPr>
        <w:t>16.</w:t>
      </w:r>
      <w:r>
        <w:rPr>
          <w:rFonts w:ascii="Arial" w:hAnsi="Arial" w:hint="cs"/>
          <w:noProof w:val="0"/>
          <w:rtl/>
        </w:rPr>
        <w:tab/>
        <w:t>לבסוף, טען המערער כי הוועדה לא נתנה את דעתה לעובדה כי בשריפת בית המלאכה חרב עולמו</w:t>
      </w:r>
      <w:r w:rsidR="00940811">
        <w:rPr>
          <w:rFonts w:ascii="Arial" w:hAnsi="Arial" w:hint="cs"/>
          <w:noProof w:val="0"/>
          <w:rtl/>
        </w:rPr>
        <w:t>,</w:t>
      </w:r>
      <w:r>
        <w:rPr>
          <w:rFonts w:ascii="Arial" w:hAnsi="Arial" w:hint="cs"/>
          <w:noProof w:val="0"/>
          <w:rtl/>
        </w:rPr>
        <w:t xml:space="preserve"> </w:t>
      </w:r>
      <w:r w:rsidR="00940811">
        <w:rPr>
          <w:rFonts w:ascii="Arial" w:hAnsi="Arial" w:hint="cs"/>
          <w:noProof w:val="0"/>
          <w:rtl/>
        </w:rPr>
        <w:t>לאחר שהוא</w:t>
      </w:r>
      <w:r>
        <w:rPr>
          <w:rFonts w:ascii="Arial" w:hAnsi="Arial" w:hint="cs"/>
          <w:noProof w:val="0"/>
          <w:rtl/>
        </w:rPr>
        <w:t xml:space="preserve"> השקיע את כל כספו וזמנו ב</w:t>
      </w:r>
      <w:r w:rsidR="00492605">
        <w:rPr>
          <w:rFonts w:ascii="Arial" w:hAnsi="Arial" w:hint="cs"/>
          <w:noProof w:val="0"/>
          <w:rtl/>
        </w:rPr>
        <w:t xml:space="preserve">נגריה </w:t>
      </w:r>
      <w:r>
        <w:rPr>
          <w:rFonts w:ascii="Arial" w:hAnsi="Arial" w:hint="cs"/>
          <w:noProof w:val="0"/>
          <w:rtl/>
        </w:rPr>
        <w:t>אשר נשר</w:t>
      </w:r>
      <w:r w:rsidR="00492605">
        <w:rPr>
          <w:rFonts w:ascii="Arial" w:hAnsi="Arial" w:hint="cs"/>
          <w:noProof w:val="0"/>
          <w:rtl/>
        </w:rPr>
        <w:t>פה</w:t>
      </w:r>
      <w:r>
        <w:rPr>
          <w:rFonts w:ascii="Arial" w:hAnsi="Arial" w:hint="cs"/>
          <w:noProof w:val="0"/>
          <w:rtl/>
        </w:rPr>
        <w:t xml:space="preserve"> על לא עוול בכפו. </w:t>
      </w:r>
    </w:p>
    <w:p w:rsidR="002F72BF" w:rsidRDefault="002F72BF" w:rsidP="00492605">
      <w:pPr>
        <w:spacing w:line="360" w:lineRule="auto"/>
        <w:ind w:left="369" w:hanging="369"/>
        <w:jc w:val="both"/>
        <w:rPr>
          <w:rFonts w:ascii="Arial" w:hAnsi="Arial"/>
          <w:noProof w:val="0"/>
          <w:rtl/>
        </w:rPr>
      </w:pPr>
    </w:p>
    <w:p w:rsidR="002F72BF" w:rsidRDefault="002F72BF" w:rsidP="002F72BF">
      <w:pPr>
        <w:spacing w:line="360" w:lineRule="auto"/>
        <w:ind w:left="369" w:hanging="369"/>
        <w:jc w:val="both"/>
        <w:rPr>
          <w:rFonts w:ascii="Arial" w:hAnsi="Arial"/>
          <w:noProof w:val="0"/>
          <w:rtl/>
        </w:rPr>
      </w:pPr>
      <w:r>
        <w:rPr>
          <w:rFonts w:ascii="Arial" w:hAnsi="Arial" w:hint="cs"/>
          <w:noProof w:val="0"/>
          <w:rtl/>
        </w:rPr>
        <w:t>17.</w:t>
      </w:r>
      <w:r>
        <w:rPr>
          <w:rFonts w:ascii="Arial" w:hAnsi="Arial" w:hint="cs"/>
          <w:noProof w:val="0"/>
          <w:rtl/>
        </w:rPr>
        <w:tab/>
        <w:t>בכתב התשובה מטעם המשיב, נטען כי על פי הדין</w:t>
      </w:r>
      <w:r w:rsidR="00940811">
        <w:rPr>
          <w:rFonts w:ascii="Arial" w:hAnsi="Arial" w:hint="cs"/>
          <w:noProof w:val="0"/>
          <w:rtl/>
        </w:rPr>
        <w:t xml:space="preserve"> ניתן לערער על ההחלטה שניתנה על ידי</w:t>
      </w:r>
      <w:r>
        <w:rPr>
          <w:rFonts w:ascii="Arial" w:hAnsi="Arial" w:hint="cs"/>
          <w:noProof w:val="0"/>
          <w:rtl/>
        </w:rPr>
        <w:t xml:space="preserve"> ועדת הערר אך ורק בשאלה משפטית. </w:t>
      </w:r>
      <w:r w:rsidR="006F72EB">
        <w:rPr>
          <w:rFonts w:ascii="Arial" w:hAnsi="Arial" w:hint="cs"/>
          <w:noProof w:val="0"/>
          <w:rtl/>
        </w:rPr>
        <w:t xml:space="preserve">נטען, כי הערעור עוסק בעיקרו בקביעות עובדתיות וכן בהתרשמות ועדת הערר מהעדים ששמעה במהלך דיוני ההוכחות. </w:t>
      </w:r>
      <w:r w:rsidR="00BE3766">
        <w:rPr>
          <w:rFonts w:ascii="Arial" w:hAnsi="Arial" w:hint="cs"/>
          <w:noProof w:val="0"/>
          <w:rtl/>
        </w:rPr>
        <w:t xml:space="preserve">עוד נטען, כי ערכאת הערעור אינה מתערבת בממצאי עובדה של ערכאה דיונית, אשר נקבעו על יסוד הערכת מהימנות ומשקל של ראיות אשר הובאו לפניה. </w:t>
      </w:r>
    </w:p>
    <w:p w:rsidR="006F7CC9" w:rsidRDefault="006F7CC9" w:rsidP="002F72BF">
      <w:pPr>
        <w:spacing w:line="360" w:lineRule="auto"/>
        <w:ind w:left="369" w:hanging="369"/>
        <w:jc w:val="both"/>
        <w:rPr>
          <w:rFonts w:ascii="Arial" w:hAnsi="Arial"/>
          <w:noProof w:val="0"/>
          <w:rtl/>
        </w:rPr>
      </w:pPr>
    </w:p>
    <w:p w:rsidR="006F7CC9" w:rsidRDefault="006F7CC9" w:rsidP="00203A74">
      <w:pPr>
        <w:spacing w:line="360" w:lineRule="auto"/>
        <w:ind w:left="369" w:hanging="369"/>
        <w:jc w:val="both"/>
        <w:rPr>
          <w:rFonts w:ascii="Arial" w:hAnsi="Arial"/>
          <w:noProof w:val="0"/>
          <w:rtl/>
        </w:rPr>
      </w:pPr>
      <w:r>
        <w:rPr>
          <w:rFonts w:ascii="Arial" w:hAnsi="Arial" w:hint="cs"/>
          <w:noProof w:val="0"/>
          <w:rtl/>
        </w:rPr>
        <w:t>18.</w:t>
      </w:r>
      <w:r>
        <w:rPr>
          <w:rFonts w:ascii="Arial" w:hAnsi="Arial" w:hint="cs"/>
          <w:noProof w:val="0"/>
          <w:rtl/>
        </w:rPr>
        <w:tab/>
        <w:t xml:space="preserve">עוד טען המשיב כי מדובר בנגריית חובבים ולא בעסק, בהתאם לראיות </w:t>
      </w:r>
      <w:r w:rsidR="00203A74">
        <w:rPr>
          <w:rFonts w:ascii="Arial" w:hAnsi="Arial" w:hint="cs"/>
          <w:noProof w:val="0"/>
          <w:rtl/>
        </w:rPr>
        <w:t>ש</w:t>
      </w:r>
      <w:r>
        <w:rPr>
          <w:rFonts w:ascii="Arial" w:hAnsi="Arial" w:hint="cs"/>
          <w:noProof w:val="0"/>
          <w:rtl/>
        </w:rPr>
        <w:t>הובאו לפני הוועדה ולכן, יש להת</w:t>
      </w:r>
      <w:r w:rsidR="00203A74">
        <w:rPr>
          <w:rFonts w:ascii="Arial" w:hAnsi="Arial" w:hint="cs"/>
          <w:noProof w:val="0"/>
          <w:rtl/>
        </w:rPr>
        <w:t xml:space="preserve">ייחס לכל הציוד שנשרף כציוד פרטי אשר אינו בר פיצוי לפי החוק. </w:t>
      </w:r>
    </w:p>
    <w:p w:rsidR="009B60BB" w:rsidRDefault="009B60BB" w:rsidP="00203A74">
      <w:pPr>
        <w:spacing w:line="360" w:lineRule="auto"/>
        <w:ind w:left="369" w:hanging="369"/>
        <w:jc w:val="both"/>
        <w:rPr>
          <w:rFonts w:ascii="Arial" w:hAnsi="Arial"/>
          <w:noProof w:val="0"/>
          <w:rtl/>
        </w:rPr>
      </w:pPr>
    </w:p>
    <w:p w:rsidR="009B60BB" w:rsidRDefault="009B60BB" w:rsidP="009B60BB">
      <w:pPr>
        <w:spacing w:line="360" w:lineRule="auto"/>
        <w:ind w:left="369" w:hanging="369"/>
        <w:jc w:val="both"/>
        <w:rPr>
          <w:rFonts w:ascii="Arial" w:hAnsi="Arial"/>
          <w:noProof w:val="0"/>
          <w:rtl/>
        </w:rPr>
      </w:pPr>
      <w:r>
        <w:rPr>
          <w:rFonts w:ascii="Arial" w:hAnsi="Arial" w:hint="cs"/>
          <w:noProof w:val="0"/>
          <w:rtl/>
        </w:rPr>
        <w:t>19.</w:t>
      </w:r>
      <w:r>
        <w:rPr>
          <w:rFonts w:ascii="Arial" w:hAnsi="Arial" w:hint="cs"/>
          <w:noProof w:val="0"/>
          <w:rtl/>
        </w:rPr>
        <w:tab/>
        <w:t xml:space="preserve">בכל הנוגע להחלטת הוועדה בסוגיית הפיצוי על הנזק העקיף נטען כי מדובר בפיצוי כתוצאה מנזק מלחמה בתחום יישוב ספר וכי היישוב אלון מורה אינו יישוב ספר ומשום כך נטען כי החלטת הוועדה ניתנה כדין וכי המערער אינו זכאי לפיצוי בגין נזק עקיף. </w:t>
      </w:r>
      <w:r w:rsidR="00940811">
        <w:rPr>
          <w:rFonts w:ascii="Arial" w:hAnsi="Arial" w:hint="cs"/>
          <w:noProof w:val="0"/>
          <w:rtl/>
        </w:rPr>
        <w:t xml:space="preserve"> בדיון שהתקיים היום שבו ב"כ הצדדים על עיקר טענותיהם.</w:t>
      </w:r>
    </w:p>
    <w:p w:rsidR="009B60BB" w:rsidRDefault="009B60BB" w:rsidP="009B60BB">
      <w:pPr>
        <w:spacing w:line="360" w:lineRule="auto"/>
        <w:ind w:left="369" w:hanging="369"/>
        <w:jc w:val="both"/>
        <w:rPr>
          <w:rFonts w:ascii="Arial" w:hAnsi="Arial"/>
          <w:noProof w:val="0"/>
          <w:rtl/>
        </w:rPr>
      </w:pPr>
    </w:p>
    <w:p w:rsidR="009B60BB" w:rsidRPr="009B60BB" w:rsidRDefault="009B60BB" w:rsidP="009B60BB">
      <w:pPr>
        <w:spacing w:line="360" w:lineRule="auto"/>
        <w:ind w:left="369" w:hanging="369"/>
        <w:jc w:val="both"/>
        <w:rPr>
          <w:rFonts w:ascii="Arial" w:hAnsi="Arial"/>
          <w:b/>
          <w:bCs/>
          <w:noProof w:val="0"/>
          <w:u w:val="single"/>
          <w:rtl/>
        </w:rPr>
      </w:pPr>
      <w:r w:rsidRPr="009B60BB">
        <w:rPr>
          <w:rFonts w:ascii="Arial" w:hAnsi="Arial" w:hint="cs"/>
          <w:b/>
          <w:bCs/>
          <w:noProof w:val="0"/>
          <w:u w:val="single"/>
          <w:rtl/>
        </w:rPr>
        <w:t>דיון והכרעה</w:t>
      </w:r>
    </w:p>
    <w:p w:rsidR="007E6B8B" w:rsidRDefault="00E47139" w:rsidP="009218E6">
      <w:pPr>
        <w:spacing w:line="360" w:lineRule="auto"/>
        <w:ind w:left="369" w:hanging="369"/>
        <w:jc w:val="both"/>
        <w:rPr>
          <w:rFonts w:ascii="Arial" w:hAnsi="Arial"/>
          <w:noProof w:val="0"/>
          <w:rtl/>
        </w:rPr>
      </w:pPr>
      <w:r>
        <w:rPr>
          <w:rFonts w:ascii="Arial" w:hAnsi="Arial" w:hint="cs"/>
          <w:noProof w:val="0"/>
          <w:rtl/>
        </w:rPr>
        <w:t>20.</w:t>
      </w:r>
      <w:r>
        <w:rPr>
          <w:rFonts w:ascii="Arial" w:hAnsi="Arial" w:hint="cs"/>
          <w:noProof w:val="0"/>
          <w:rtl/>
        </w:rPr>
        <w:tab/>
        <w:t xml:space="preserve">סעיף 12א(א) לתקנות מס רכוש וקרן פיצויים (תשלום פיצויים) (נזק מלחמה ונזק עקיף), תשל"ג-1973 (להלן: "התקנות"), קובע כי ניתן לערער על החלטת ועדת הערר לבית המשפט, אך ורק בשאלה משפטית. </w:t>
      </w:r>
      <w:r w:rsidR="009218E6">
        <w:rPr>
          <w:rFonts w:ascii="Arial" w:hAnsi="Arial" w:hint="cs"/>
          <w:noProof w:val="0"/>
          <w:rtl/>
        </w:rPr>
        <w:t xml:space="preserve">עיון בהחלטת הוועדה, מלמד כי קביעות הוועדה לעניין גובה הפיצוי הן קביעות עובדתיות והשגות המערער על קביעות אלו הן השגות על קביעות עובדתיות וכי אין המדובר בערעור </w:t>
      </w:r>
      <w:r w:rsidR="00CA3F49">
        <w:rPr>
          <w:rFonts w:ascii="Arial" w:hAnsi="Arial" w:hint="cs"/>
          <w:noProof w:val="0"/>
          <w:rtl/>
        </w:rPr>
        <w:t>בבעיה</w:t>
      </w:r>
      <w:r w:rsidR="009218E6">
        <w:rPr>
          <w:rFonts w:ascii="Arial" w:hAnsi="Arial" w:hint="cs"/>
          <w:noProof w:val="0"/>
          <w:rtl/>
        </w:rPr>
        <w:t xml:space="preserve"> משפטית. </w:t>
      </w:r>
    </w:p>
    <w:p w:rsidR="009B60BB" w:rsidRPr="0061170B" w:rsidRDefault="007E6B8B" w:rsidP="00264517">
      <w:pPr>
        <w:spacing w:line="360" w:lineRule="auto"/>
        <w:ind w:left="369"/>
        <w:jc w:val="both"/>
        <w:rPr>
          <w:rFonts w:ascii="Arial" w:hAnsi="Arial"/>
          <w:noProof w:val="0"/>
          <w:rtl/>
        </w:rPr>
      </w:pPr>
      <w:r>
        <w:rPr>
          <w:rFonts w:ascii="Arial" w:hAnsi="Arial" w:hint="cs"/>
          <w:noProof w:val="0"/>
          <w:rtl/>
        </w:rPr>
        <w:lastRenderedPageBreak/>
        <w:t xml:space="preserve">בפסיקה נקבע כי ערכאת הערעור אינה בוחנת את הדרך שבה הוועדה שקלה </w:t>
      </w:r>
      <w:r w:rsidR="00CA3F49">
        <w:rPr>
          <w:rFonts w:ascii="Arial" w:hAnsi="Arial" w:hint="cs"/>
          <w:noProof w:val="0"/>
          <w:rtl/>
        </w:rPr>
        <w:t>והעריכה את חומר הראיות אשר הוצג</w:t>
      </w:r>
      <w:r>
        <w:rPr>
          <w:rFonts w:ascii="Arial" w:hAnsi="Arial" w:hint="cs"/>
          <w:noProof w:val="0"/>
          <w:rtl/>
        </w:rPr>
        <w:t xml:space="preserve"> לפניה (</w:t>
      </w:r>
      <w:r w:rsidRPr="007E6B8B">
        <w:rPr>
          <w:rFonts w:ascii="Arial" w:hAnsi="Arial" w:hint="cs"/>
          <w:b/>
          <w:bCs/>
          <w:noProof w:val="0"/>
          <w:rtl/>
        </w:rPr>
        <w:t>ע"ש</w:t>
      </w:r>
      <w:r>
        <w:rPr>
          <w:rFonts w:ascii="Arial" w:hAnsi="Arial" w:hint="cs"/>
          <w:noProof w:val="0"/>
          <w:rtl/>
        </w:rPr>
        <w:t xml:space="preserve"> (י-ם) </w:t>
      </w:r>
      <w:r w:rsidRPr="007E6B8B">
        <w:rPr>
          <w:rFonts w:ascii="Arial" w:hAnsi="Arial" w:hint="cs"/>
          <w:b/>
          <w:bCs/>
          <w:noProof w:val="0"/>
          <w:rtl/>
        </w:rPr>
        <w:t>5203/98</w:t>
      </w:r>
      <w:r>
        <w:rPr>
          <w:rFonts w:ascii="Arial" w:hAnsi="Arial" w:hint="cs"/>
          <w:noProof w:val="0"/>
          <w:rtl/>
        </w:rPr>
        <w:t xml:space="preserve"> </w:t>
      </w:r>
      <w:r>
        <w:rPr>
          <w:rFonts w:ascii="Arial" w:hAnsi="Arial" w:hint="cs"/>
          <w:b/>
          <w:bCs/>
          <w:noProof w:val="0"/>
          <w:rtl/>
        </w:rPr>
        <w:t>מנהל מס רכוש נ' מוסא מחמד עליל</w:t>
      </w:r>
      <w:r w:rsidR="00CA3F49">
        <w:rPr>
          <w:rFonts w:ascii="Arial" w:hAnsi="Arial" w:hint="cs"/>
          <w:b/>
          <w:bCs/>
          <w:noProof w:val="0"/>
          <w:rtl/>
        </w:rPr>
        <w:t xml:space="preserve"> עותמן (2000); ע"ש</w:t>
      </w:r>
      <w:r w:rsidR="00CA3F49">
        <w:rPr>
          <w:rFonts w:ascii="Arial" w:hAnsi="Arial" w:hint="cs"/>
          <w:noProof w:val="0"/>
          <w:rtl/>
        </w:rPr>
        <w:t xml:space="preserve"> </w:t>
      </w:r>
      <w:r w:rsidRPr="007E6B8B">
        <w:rPr>
          <w:rFonts w:ascii="Arial" w:hAnsi="Arial" w:hint="cs"/>
          <w:noProof w:val="0"/>
          <w:rtl/>
        </w:rPr>
        <w:t>(י-</w:t>
      </w:r>
      <w:r>
        <w:rPr>
          <w:rFonts w:ascii="Arial" w:hAnsi="Arial" w:hint="cs"/>
          <w:noProof w:val="0"/>
          <w:rtl/>
        </w:rPr>
        <w:t>ם</w:t>
      </w:r>
      <w:r w:rsidRPr="007E6B8B">
        <w:rPr>
          <w:rFonts w:ascii="Arial" w:hAnsi="Arial" w:hint="cs"/>
          <w:noProof w:val="0"/>
          <w:rtl/>
        </w:rPr>
        <w:t>)</w:t>
      </w:r>
      <w:r>
        <w:rPr>
          <w:rFonts w:ascii="Arial" w:hAnsi="Arial" w:hint="cs"/>
          <w:b/>
          <w:bCs/>
          <w:noProof w:val="0"/>
          <w:rtl/>
        </w:rPr>
        <w:t xml:space="preserve"> 9014/01 מישל גוזלן נ' מנהל מס רכוש וקרן פיצויים ירושלים</w:t>
      </w:r>
      <w:r w:rsidR="00CA3F49">
        <w:rPr>
          <w:rFonts w:ascii="Arial" w:hAnsi="Arial" w:hint="cs"/>
          <w:b/>
          <w:bCs/>
          <w:noProof w:val="0"/>
          <w:rtl/>
        </w:rPr>
        <w:t xml:space="preserve"> (10.5.01)</w:t>
      </w:r>
      <w:r>
        <w:rPr>
          <w:rFonts w:ascii="Arial" w:hAnsi="Arial" w:hint="cs"/>
          <w:b/>
          <w:bCs/>
          <w:noProof w:val="0"/>
          <w:rtl/>
        </w:rPr>
        <w:t xml:space="preserve">; ע"ש </w:t>
      </w:r>
      <w:r>
        <w:rPr>
          <w:rFonts w:ascii="Arial" w:hAnsi="Arial" w:hint="cs"/>
          <w:noProof w:val="0"/>
          <w:rtl/>
        </w:rPr>
        <w:t xml:space="preserve">(י-ם) </w:t>
      </w:r>
      <w:r w:rsidRPr="00CA3F49">
        <w:rPr>
          <w:rFonts w:ascii="Arial" w:hAnsi="Arial" w:hint="cs"/>
          <w:b/>
          <w:bCs/>
          <w:noProof w:val="0"/>
          <w:rtl/>
        </w:rPr>
        <w:t>37</w:t>
      </w:r>
      <w:r w:rsidR="00CA3F49">
        <w:rPr>
          <w:rFonts w:ascii="Arial" w:hAnsi="Arial" w:hint="cs"/>
          <w:b/>
          <w:bCs/>
          <w:noProof w:val="0"/>
          <w:rtl/>
        </w:rPr>
        <w:t>9</w:t>
      </w:r>
      <w:r w:rsidRPr="00CA3F49">
        <w:rPr>
          <w:rFonts w:ascii="Arial" w:hAnsi="Arial" w:hint="cs"/>
          <w:b/>
          <w:bCs/>
          <w:noProof w:val="0"/>
          <w:rtl/>
        </w:rPr>
        <w:t>/08</w:t>
      </w:r>
      <w:r>
        <w:rPr>
          <w:rFonts w:ascii="Arial" w:hAnsi="Arial" w:hint="cs"/>
          <w:noProof w:val="0"/>
          <w:rtl/>
        </w:rPr>
        <w:t xml:space="preserve"> </w:t>
      </w:r>
      <w:r>
        <w:rPr>
          <w:rFonts w:ascii="Arial" w:hAnsi="Arial" w:hint="cs"/>
          <w:b/>
          <w:bCs/>
          <w:noProof w:val="0"/>
          <w:rtl/>
        </w:rPr>
        <w:t>לאה ויוסף עוזי</w:t>
      </w:r>
      <w:r w:rsidR="00CA3F49">
        <w:rPr>
          <w:rFonts w:ascii="Arial" w:hAnsi="Arial" w:hint="cs"/>
          <w:b/>
          <w:bCs/>
          <w:noProof w:val="0"/>
          <w:rtl/>
        </w:rPr>
        <w:t>אל נ' מנהל מס רכוש וקרן פיצויים (31.12.09))</w:t>
      </w:r>
      <w:r>
        <w:rPr>
          <w:rFonts w:ascii="Arial" w:hAnsi="Arial" w:hint="cs"/>
          <w:b/>
          <w:bCs/>
          <w:noProof w:val="0"/>
          <w:rtl/>
        </w:rPr>
        <w:t xml:space="preserve">. </w:t>
      </w:r>
      <w:r>
        <w:rPr>
          <w:rFonts w:ascii="Arial" w:hAnsi="Arial" w:hint="cs"/>
          <w:noProof w:val="0"/>
          <w:rtl/>
        </w:rPr>
        <w:t>כמו כן נקבע כי השגה על הדרך שבה שקלה הוועדה והעריכה את חומר הראיות שהובא לפניה, אינה שאלה משפטית אשר ניתן לערער עליה, אלא עניינה בקביעת ממצאים על בסיס הערכת משקל ומהימנות של ראיות (</w:t>
      </w:r>
      <w:r>
        <w:rPr>
          <w:rFonts w:ascii="Arial" w:hAnsi="Arial" w:hint="cs"/>
          <w:b/>
          <w:bCs/>
          <w:noProof w:val="0"/>
          <w:rtl/>
        </w:rPr>
        <w:t>ע"ש 6/96 א.ד. בתי עץ (ש</w:t>
      </w:r>
      <w:r w:rsidR="00CA3F49">
        <w:rPr>
          <w:rFonts w:ascii="Arial" w:hAnsi="Arial" w:hint="cs"/>
          <w:b/>
          <w:bCs/>
          <w:noProof w:val="0"/>
          <w:rtl/>
        </w:rPr>
        <w:t>ב</w:t>
      </w:r>
      <w:r>
        <w:rPr>
          <w:rFonts w:ascii="Arial" w:hAnsi="Arial" w:hint="cs"/>
          <w:b/>
          <w:bCs/>
          <w:noProof w:val="0"/>
          <w:rtl/>
        </w:rPr>
        <w:t>דיה) נ' מנהל מס רכוש</w:t>
      </w:r>
      <w:r w:rsidR="00CA3F49">
        <w:rPr>
          <w:rFonts w:ascii="Arial" w:hAnsi="Arial" w:hint="cs"/>
          <w:noProof w:val="0"/>
          <w:rtl/>
        </w:rPr>
        <w:t xml:space="preserve"> </w:t>
      </w:r>
      <w:r w:rsidR="00CA3F49" w:rsidRPr="00CA3F49">
        <w:rPr>
          <w:rFonts w:ascii="Arial" w:hAnsi="Arial" w:hint="cs"/>
          <w:b/>
          <w:bCs/>
          <w:noProof w:val="0"/>
          <w:rtl/>
        </w:rPr>
        <w:t>וקרן פיצויים</w:t>
      </w:r>
      <w:r w:rsidR="00CA3F49">
        <w:rPr>
          <w:rFonts w:ascii="Arial" w:hAnsi="Arial" w:hint="cs"/>
          <w:noProof w:val="0"/>
          <w:rtl/>
        </w:rPr>
        <w:t xml:space="preserve"> (1996</w:t>
      </w:r>
      <w:r>
        <w:rPr>
          <w:rFonts w:ascii="Arial" w:hAnsi="Arial" w:hint="cs"/>
          <w:noProof w:val="0"/>
          <w:rtl/>
        </w:rPr>
        <w:t>)</w:t>
      </w:r>
      <w:r w:rsidR="00CA3F49">
        <w:rPr>
          <w:rFonts w:ascii="Arial" w:hAnsi="Arial" w:hint="cs"/>
          <w:noProof w:val="0"/>
          <w:rtl/>
        </w:rPr>
        <w:t>)</w:t>
      </w:r>
      <w:r>
        <w:rPr>
          <w:rFonts w:ascii="Arial" w:hAnsi="Arial" w:hint="cs"/>
          <w:noProof w:val="0"/>
          <w:rtl/>
        </w:rPr>
        <w:t xml:space="preserve">. עוד נקבע </w:t>
      </w:r>
      <w:r w:rsidRPr="007E6B8B">
        <w:rPr>
          <w:rFonts w:ascii="Arial" w:hAnsi="Arial" w:hint="cs"/>
          <w:noProof w:val="0"/>
          <w:rtl/>
        </w:rPr>
        <w:t xml:space="preserve">שהטענה שהוועדה טעתה משפטית </w:t>
      </w:r>
      <w:r>
        <w:rPr>
          <w:rFonts w:ascii="Arial" w:hAnsi="Arial" w:hint="cs"/>
          <w:noProof w:val="0"/>
          <w:rtl/>
        </w:rPr>
        <w:t>בכך שלא קבעה כי הנטל הורם באמצעות</w:t>
      </w:r>
      <w:r w:rsidR="00103EB8">
        <w:rPr>
          <w:rFonts w:ascii="Arial" w:hAnsi="Arial" w:hint="cs"/>
          <w:noProof w:val="0"/>
          <w:rtl/>
        </w:rPr>
        <w:t xml:space="preserve"> העובדות אשר הובאו לפניה ולכן הערעור הוא בשאלה משפטית </w:t>
      </w:r>
      <w:r w:rsidR="00A3793C">
        <w:rPr>
          <w:rFonts w:ascii="Arial" w:hAnsi="Arial"/>
          <w:noProof w:val="0"/>
          <w:rtl/>
        </w:rPr>
        <w:t>–</w:t>
      </w:r>
      <w:r w:rsidR="00A3793C">
        <w:rPr>
          <w:rFonts w:ascii="Arial" w:hAnsi="Arial" w:hint="cs"/>
          <w:noProof w:val="0"/>
          <w:rtl/>
        </w:rPr>
        <w:t xml:space="preserve"> דינה להידחות (</w:t>
      </w:r>
      <w:r w:rsidR="00A3793C">
        <w:rPr>
          <w:rFonts w:ascii="Arial" w:hAnsi="Arial" w:hint="cs"/>
          <w:b/>
          <w:bCs/>
          <w:noProof w:val="0"/>
          <w:rtl/>
        </w:rPr>
        <w:t xml:space="preserve">ע"ש 5064/05 בלוקי שפילמן </w:t>
      </w:r>
      <w:r w:rsidR="00A3793C">
        <w:rPr>
          <w:rFonts w:ascii="Arial" w:hAnsi="Arial"/>
          <w:b/>
          <w:bCs/>
          <w:noProof w:val="0"/>
          <w:rtl/>
        </w:rPr>
        <w:t>–</w:t>
      </w:r>
      <w:r w:rsidR="00A3793C">
        <w:rPr>
          <w:rFonts w:ascii="Arial" w:hAnsi="Arial" w:hint="cs"/>
          <w:b/>
          <w:bCs/>
          <w:noProof w:val="0"/>
          <w:rtl/>
        </w:rPr>
        <w:t xml:space="preserve"> קוטלר עדיקא בע"מ נ' מנהל מס רכוש וקרן פיצויים). </w:t>
      </w:r>
      <w:r w:rsidR="006F0322">
        <w:rPr>
          <w:rFonts w:ascii="Arial" w:hAnsi="Arial" w:hint="cs"/>
          <w:noProof w:val="0"/>
          <w:rtl/>
        </w:rPr>
        <w:t>כן נקבע כי כאשר מדובר בסוגיה הקשורה לדיני הראיות</w:t>
      </w:r>
      <w:r w:rsidR="0061170B">
        <w:rPr>
          <w:rFonts w:ascii="Arial" w:hAnsi="Arial" w:hint="cs"/>
          <w:noProof w:val="0"/>
          <w:rtl/>
        </w:rPr>
        <w:t xml:space="preserve"> או לסדרי הדין, אין לראות בכך "</w:t>
      </w:r>
      <w:r w:rsidR="0061170B">
        <w:rPr>
          <w:rFonts w:ascii="Arial" w:hAnsi="Arial" w:hint="cs"/>
          <w:b/>
          <w:bCs/>
          <w:noProof w:val="0"/>
          <w:rtl/>
        </w:rPr>
        <w:t>בעיה משפטית"</w:t>
      </w:r>
      <w:r w:rsidR="0061170B">
        <w:rPr>
          <w:rFonts w:ascii="Arial" w:hAnsi="Arial" w:hint="cs"/>
          <w:noProof w:val="0"/>
          <w:rtl/>
        </w:rPr>
        <w:t xml:space="preserve"> וכן כי ככל שמדובר בהחלטה של טריבונל מקצועי, הפרשנות לשאלה מה נכלל בביטוי "</w:t>
      </w:r>
      <w:r w:rsidR="0061170B">
        <w:rPr>
          <w:rFonts w:ascii="Arial" w:hAnsi="Arial" w:hint="cs"/>
          <w:b/>
          <w:bCs/>
          <w:noProof w:val="0"/>
          <w:rtl/>
        </w:rPr>
        <w:t>בעיה משפטית</w:t>
      </w:r>
      <w:r w:rsidR="0061170B">
        <w:rPr>
          <w:rFonts w:ascii="Arial" w:hAnsi="Arial" w:hint="cs"/>
          <w:noProof w:val="0"/>
          <w:rtl/>
        </w:rPr>
        <w:t xml:space="preserve">" תהיה מצומצמת יותר </w:t>
      </w:r>
      <w:r w:rsidR="00CA3F49">
        <w:rPr>
          <w:rFonts w:ascii="Arial" w:hAnsi="Arial" w:hint="cs"/>
          <w:b/>
          <w:bCs/>
          <w:noProof w:val="0"/>
          <w:rtl/>
        </w:rPr>
        <w:t>(</w:t>
      </w:r>
      <w:r w:rsidR="0061170B">
        <w:rPr>
          <w:rFonts w:ascii="Arial" w:hAnsi="Arial" w:hint="cs"/>
          <w:b/>
          <w:bCs/>
          <w:noProof w:val="0"/>
          <w:rtl/>
        </w:rPr>
        <w:t>ע"א 266/97 מנהל מס שבח מקרקע</w:t>
      </w:r>
      <w:r w:rsidR="00CA3F49">
        <w:rPr>
          <w:rFonts w:ascii="Arial" w:hAnsi="Arial" w:hint="cs"/>
          <w:b/>
          <w:bCs/>
          <w:noProof w:val="0"/>
          <w:rtl/>
        </w:rPr>
        <w:t>י</w:t>
      </w:r>
      <w:r w:rsidR="0061170B">
        <w:rPr>
          <w:rFonts w:ascii="Arial" w:hAnsi="Arial" w:hint="cs"/>
          <w:b/>
          <w:bCs/>
          <w:noProof w:val="0"/>
          <w:rtl/>
        </w:rPr>
        <w:t xml:space="preserve">ן חיפה נ' </w:t>
      </w:r>
      <w:r w:rsidR="00CA3F49">
        <w:rPr>
          <w:rFonts w:ascii="Arial" w:hAnsi="Arial" w:hint="cs"/>
          <w:b/>
          <w:bCs/>
          <w:noProof w:val="0"/>
          <w:rtl/>
        </w:rPr>
        <w:t>מקס ו</w:t>
      </w:r>
      <w:r w:rsidR="0061170B">
        <w:rPr>
          <w:rFonts w:ascii="Arial" w:hAnsi="Arial" w:hint="cs"/>
          <w:b/>
          <w:bCs/>
          <w:noProof w:val="0"/>
          <w:rtl/>
        </w:rPr>
        <w:t xml:space="preserve">ויסמן, </w:t>
      </w:r>
      <w:r w:rsidR="007079E5">
        <w:rPr>
          <w:rFonts w:ascii="Arial" w:hAnsi="Arial" w:hint="cs"/>
          <w:b/>
          <w:bCs/>
          <w:noProof w:val="0"/>
          <w:rtl/>
        </w:rPr>
        <w:t>פ"ד נ"ז(3) 207(2003)</w:t>
      </w:r>
      <w:r w:rsidR="00264517">
        <w:rPr>
          <w:rFonts w:ascii="Arial" w:hAnsi="Arial" w:hint="cs"/>
          <w:b/>
          <w:bCs/>
          <w:noProof w:val="0"/>
          <w:rtl/>
        </w:rPr>
        <w:t>)</w:t>
      </w:r>
      <w:r w:rsidR="007079E5">
        <w:rPr>
          <w:rFonts w:ascii="Arial" w:hAnsi="Arial" w:hint="cs"/>
          <w:b/>
          <w:bCs/>
          <w:noProof w:val="0"/>
          <w:rtl/>
        </w:rPr>
        <w:t>.</w:t>
      </w:r>
    </w:p>
    <w:p w:rsidR="001F3AFA" w:rsidRDefault="001F3AFA" w:rsidP="009218E6">
      <w:pPr>
        <w:spacing w:line="360" w:lineRule="auto"/>
        <w:ind w:left="369" w:hanging="369"/>
        <w:jc w:val="both"/>
        <w:rPr>
          <w:rFonts w:ascii="Arial" w:hAnsi="Arial"/>
          <w:noProof w:val="0"/>
          <w:rtl/>
        </w:rPr>
      </w:pPr>
    </w:p>
    <w:p w:rsidR="001F3AFA" w:rsidRDefault="001F3AFA" w:rsidP="00264517">
      <w:pPr>
        <w:spacing w:line="360" w:lineRule="auto"/>
        <w:ind w:left="369" w:hanging="369"/>
        <w:jc w:val="both"/>
        <w:rPr>
          <w:rFonts w:ascii="Arial" w:hAnsi="Arial"/>
          <w:noProof w:val="0"/>
          <w:rtl/>
        </w:rPr>
      </w:pPr>
      <w:r>
        <w:rPr>
          <w:rFonts w:ascii="Arial" w:hAnsi="Arial" w:hint="cs"/>
          <w:noProof w:val="0"/>
          <w:rtl/>
        </w:rPr>
        <w:t>21.</w:t>
      </w:r>
      <w:r w:rsidR="00BC4237">
        <w:rPr>
          <w:rFonts w:ascii="Arial" w:hAnsi="Arial" w:hint="cs"/>
          <w:noProof w:val="0"/>
          <w:rtl/>
        </w:rPr>
        <w:t xml:space="preserve"> ב</w:t>
      </w:r>
      <w:r w:rsidR="00264517">
        <w:rPr>
          <w:rFonts w:ascii="Arial" w:hAnsi="Arial" w:hint="cs"/>
          <w:noProof w:val="0"/>
          <w:rtl/>
        </w:rPr>
        <w:t>פסק הדין שניתן לאחרונה ב</w:t>
      </w:r>
      <w:r w:rsidR="00BC4237">
        <w:rPr>
          <w:rFonts w:ascii="Arial" w:hAnsi="Arial" w:hint="cs"/>
          <w:noProof w:val="0"/>
          <w:rtl/>
        </w:rPr>
        <w:t xml:space="preserve">ע"מ (י-ם) 30106-06-21 </w:t>
      </w:r>
      <w:r w:rsidR="00264517" w:rsidRPr="00264517">
        <w:rPr>
          <w:rFonts w:ascii="Arial" w:hAnsi="Arial" w:hint="cs"/>
          <w:b/>
          <w:bCs/>
          <w:noProof w:val="0"/>
          <w:rtl/>
        </w:rPr>
        <w:t xml:space="preserve">דוד </w:t>
      </w:r>
      <w:r w:rsidR="00BC4237" w:rsidRPr="00264517">
        <w:rPr>
          <w:rFonts w:ascii="Arial" w:hAnsi="Arial" w:hint="cs"/>
          <w:b/>
          <w:bCs/>
          <w:noProof w:val="0"/>
          <w:rtl/>
        </w:rPr>
        <w:t>שריאל נ' מנהל מס רכוש וקרן</w:t>
      </w:r>
      <w:r w:rsidR="00BC4237">
        <w:rPr>
          <w:rFonts w:ascii="Arial" w:hAnsi="Arial" w:hint="cs"/>
          <w:noProof w:val="0"/>
          <w:rtl/>
        </w:rPr>
        <w:t xml:space="preserve"> </w:t>
      </w:r>
      <w:r w:rsidR="00BC4237" w:rsidRPr="00264517">
        <w:rPr>
          <w:rFonts w:ascii="Arial" w:hAnsi="Arial" w:hint="cs"/>
          <w:b/>
          <w:bCs/>
          <w:noProof w:val="0"/>
          <w:rtl/>
        </w:rPr>
        <w:t>פיצויים</w:t>
      </w:r>
      <w:r w:rsidR="00BC4237">
        <w:rPr>
          <w:rFonts w:ascii="Arial" w:hAnsi="Arial" w:hint="cs"/>
          <w:noProof w:val="0"/>
          <w:rtl/>
        </w:rPr>
        <w:t xml:space="preserve"> (25.6.2023), נקבע כי הטענה לפיה ועדת הערר הייתה</w:t>
      </w:r>
      <w:r w:rsidR="005975B7">
        <w:rPr>
          <w:rFonts w:ascii="Arial" w:hAnsi="Arial" w:hint="cs"/>
          <w:noProof w:val="0"/>
          <w:rtl/>
        </w:rPr>
        <w:t xml:space="preserve"> </w:t>
      </w:r>
      <w:r w:rsidR="00264517">
        <w:rPr>
          <w:rFonts w:ascii="Arial" w:hAnsi="Arial" w:hint="cs"/>
          <w:noProof w:val="0"/>
          <w:rtl/>
        </w:rPr>
        <w:t>מחויבת</w:t>
      </w:r>
      <w:r w:rsidR="00BC4237">
        <w:rPr>
          <w:rFonts w:ascii="Arial" w:hAnsi="Arial" w:hint="cs"/>
          <w:noProof w:val="0"/>
          <w:rtl/>
        </w:rPr>
        <w:t xml:space="preserve"> לסמ</w:t>
      </w:r>
      <w:r w:rsidR="005975B7">
        <w:rPr>
          <w:rFonts w:ascii="Arial" w:hAnsi="Arial" w:hint="cs"/>
          <w:noProof w:val="0"/>
          <w:rtl/>
        </w:rPr>
        <w:t xml:space="preserve">וך את ממצאיה אך ורק על חוות הדעת מטעם המערער, אינה שאלה משפטית. באותו מקרה נדונה תביעה לפיצויים בגין נזק מלחמה בשל אותו </w:t>
      </w:r>
      <w:r w:rsidR="00264517">
        <w:rPr>
          <w:rFonts w:ascii="Arial" w:hAnsi="Arial" w:hint="cs"/>
          <w:noProof w:val="0"/>
          <w:rtl/>
        </w:rPr>
        <w:t>ה</w:t>
      </w:r>
      <w:r w:rsidR="005975B7">
        <w:rPr>
          <w:rFonts w:ascii="Arial" w:hAnsi="Arial" w:hint="cs"/>
          <w:noProof w:val="0"/>
          <w:rtl/>
        </w:rPr>
        <w:t xml:space="preserve">אירוע </w:t>
      </w:r>
      <w:r w:rsidR="00264517">
        <w:rPr>
          <w:rFonts w:ascii="Arial" w:hAnsi="Arial" w:hint="cs"/>
          <w:noProof w:val="0"/>
          <w:rtl/>
        </w:rPr>
        <w:t xml:space="preserve">שנדון בפניי </w:t>
      </w:r>
      <w:r w:rsidR="005975B7">
        <w:rPr>
          <w:rFonts w:ascii="Arial" w:hAnsi="Arial" w:hint="cs"/>
          <w:noProof w:val="0"/>
          <w:rtl/>
        </w:rPr>
        <w:t xml:space="preserve">שהתרחש ביום 25.7.15 ביישוב אלון מורה. </w:t>
      </w:r>
      <w:r w:rsidR="00264517">
        <w:rPr>
          <w:rFonts w:ascii="Arial" w:hAnsi="Arial" w:hint="cs"/>
          <w:noProof w:val="0"/>
          <w:rtl/>
        </w:rPr>
        <w:t xml:space="preserve">גם </w:t>
      </w:r>
      <w:r w:rsidR="000B67BA">
        <w:rPr>
          <w:rFonts w:ascii="Arial" w:hAnsi="Arial" w:hint="cs"/>
          <w:noProof w:val="0"/>
          <w:rtl/>
        </w:rPr>
        <w:t>במקרה הנ"ל טען המערער כי חוות הדעת השמאית שהוגשה על ידו היי</w:t>
      </w:r>
      <w:r w:rsidR="00264517">
        <w:rPr>
          <w:rFonts w:ascii="Arial" w:hAnsi="Arial" w:hint="cs"/>
          <w:noProof w:val="0"/>
          <w:rtl/>
        </w:rPr>
        <w:t>תה היחידה אשר עמדה לפני הוועדה ובית המשפט קבע כי אין מדובר בבעיה משפטית.</w:t>
      </w:r>
    </w:p>
    <w:p w:rsidR="009F197E" w:rsidRDefault="009F197E" w:rsidP="000B67BA">
      <w:pPr>
        <w:spacing w:line="360" w:lineRule="auto"/>
        <w:ind w:left="369" w:hanging="369"/>
        <w:jc w:val="both"/>
        <w:rPr>
          <w:rFonts w:ascii="Arial" w:hAnsi="Arial"/>
          <w:noProof w:val="0"/>
          <w:rtl/>
        </w:rPr>
      </w:pPr>
    </w:p>
    <w:p w:rsidR="00F8764C" w:rsidRDefault="009F197E" w:rsidP="008B5FFC">
      <w:pPr>
        <w:spacing w:line="360" w:lineRule="auto"/>
        <w:ind w:left="369" w:hanging="369"/>
        <w:jc w:val="both"/>
        <w:rPr>
          <w:rFonts w:ascii="Arial" w:hAnsi="Arial"/>
          <w:noProof w:val="0"/>
          <w:rtl/>
        </w:rPr>
      </w:pPr>
      <w:r>
        <w:rPr>
          <w:rFonts w:ascii="Arial" w:hAnsi="Arial" w:hint="cs"/>
          <w:noProof w:val="0"/>
          <w:rtl/>
        </w:rPr>
        <w:t>22.</w:t>
      </w:r>
      <w:r>
        <w:rPr>
          <w:rFonts w:ascii="Arial" w:hAnsi="Arial" w:hint="cs"/>
          <w:noProof w:val="0"/>
          <w:rtl/>
        </w:rPr>
        <w:tab/>
        <w:t>לאור האמור עד כה</w:t>
      </w:r>
      <w:r w:rsidR="00264517">
        <w:rPr>
          <w:rFonts w:ascii="Arial" w:hAnsi="Arial" w:hint="cs"/>
          <w:noProof w:val="0"/>
          <w:rtl/>
        </w:rPr>
        <w:t>,</w:t>
      </w:r>
      <w:r>
        <w:rPr>
          <w:rFonts w:ascii="Arial" w:hAnsi="Arial" w:hint="cs"/>
          <w:noProof w:val="0"/>
          <w:rtl/>
        </w:rPr>
        <w:t xml:space="preserve"> </w:t>
      </w:r>
      <w:r w:rsidR="008B5FFC">
        <w:rPr>
          <w:rFonts w:ascii="Arial" w:hAnsi="Arial" w:hint="cs"/>
          <w:noProof w:val="0"/>
          <w:rtl/>
        </w:rPr>
        <w:t>נקבע בזאת</w:t>
      </w:r>
      <w:r>
        <w:rPr>
          <w:rFonts w:ascii="Arial" w:hAnsi="Arial" w:hint="cs"/>
          <w:noProof w:val="0"/>
          <w:rtl/>
        </w:rPr>
        <w:t xml:space="preserve"> כי החלק בערעור המתייחס לקביעת הוועדה באשר לשווי פרטי הציוד שנשרפו בנגרייה </w:t>
      </w:r>
      <w:r w:rsidR="008B5FFC">
        <w:rPr>
          <w:rFonts w:ascii="Arial" w:hAnsi="Arial" w:hint="cs"/>
          <w:noProof w:val="0"/>
          <w:rtl/>
        </w:rPr>
        <w:t>אינו בא בגדרי "בעיה משפטית"</w:t>
      </w:r>
      <w:r w:rsidR="002E3CC0">
        <w:rPr>
          <w:rFonts w:ascii="Arial" w:hAnsi="Arial" w:hint="cs"/>
          <w:noProof w:val="0"/>
          <w:rtl/>
        </w:rPr>
        <w:t>. לפיכך</w:t>
      </w:r>
      <w:r w:rsidR="00264517">
        <w:rPr>
          <w:rFonts w:ascii="Arial" w:hAnsi="Arial" w:hint="cs"/>
          <w:noProof w:val="0"/>
          <w:rtl/>
        </w:rPr>
        <w:t>,</w:t>
      </w:r>
      <w:r w:rsidR="002E3CC0">
        <w:rPr>
          <w:rFonts w:ascii="Arial" w:hAnsi="Arial" w:hint="cs"/>
          <w:noProof w:val="0"/>
          <w:rtl/>
        </w:rPr>
        <w:t xml:space="preserve"> אין </w:t>
      </w:r>
      <w:r w:rsidR="00F8764C">
        <w:rPr>
          <w:rFonts w:ascii="Arial" w:hAnsi="Arial" w:hint="cs"/>
          <w:noProof w:val="0"/>
          <w:rtl/>
        </w:rPr>
        <w:t xml:space="preserve">בידי בית משפט זה להתערב בקביעת הוועדה באשר לגובה הנזק הישיר הנטען. </w:t>
      </w:r>
    </w:p>
    <w:p w:rsidR="00F8764C" w:rsidRDefault="00F8764C" w:rsidP="008B5FFC">
      <w:pPr>
        <w:spacing w:line="360" w:lineRule="auto"/>
        <w:ind w:left="369" w:hanging="369"/>
        <w:jc w:val="both"/>
        <w:rPr>
          <w:rFonts w:ascii="Arial" w:hAnsi="Arial"/>
          <w:noProof w:val="0"/>
          <w:rtl/>
        </w:rPr>
      </w:pPr>
    </w:p>
    <w:p w:rsidR="004A0EF4" w:rsidRDefault="00F8764C" w:rsidP="005E24E1">
      <w:pPr>
        <w:spacing w:line="360" w:lineRule="auto"/>
        <w:ind w:left="369" w:hanging="369"/>
        <w:jc w:val="both"/>
        <w:rPr>
          <w:rFonts w:ascii="Arial" w:hAnsi="Arial"/>
          <w:noProof w:val="0"/>
          <w:rtl/>
        </w:rPr>
      </w:pPr>
      <w:r>
        <w:rPr>
          <w:rFonts w:ascii="Arial" w:hAnsi="Arial" w:hint="cs"/>
          <w:noProof w:val="0"/>
          <w:rtl/>
        </w:rPr>
        <w:t>23.</w:t>
      </w:r>
      <w:r>
        <w:rPr>
          <w:rFonts w:ascii="Arial" w:hAnsi="Arial" w:hint="cs"/>
          <w:noProof w:val="0"/>
          <w:rtl/>
        </w:rPr>
        <w:tab/>
        <w:t xml:space="preserve">בכל הנוגע לפיצוי בגין </w:t>
      </w:r>
      <w:r w:rsidR="003E2DEC">
        <w:rPr>
          <w:rFonts w:ascii="Arial" w:hAnsi="Arial" w:hint="cs"/>
          <w:noProof w:val="0"/>
          <w:rtl/>
        </w:rPr>
        <w:t>נזקים עקיפים</w:t>
      </w:r>
      <w:r w:rsidR="00264517">
        <w:rPr>
          <w:rFonts w:ascii="Arial" w:hAnsi="Arial" w:hint="cs"/>
          <w:noProof w:val="0"/>
          <w:rtl/>
        </w:rPr>
        <w:t>,</w:t>
      </w:r>
      <w:r w:rsidR="003E2DEC">
        <w:rPr>
          <w:rFonts w:ascii="Arial" w:hAnsi="Arial" w:hint="cs"/>
          <w:noProof w:val="0"/>
          <w:rtl/>
        </w:rPr>
        <w:t xml:space="preserve"> קובע סעיף 35 לחוק מס רכוש וקרן פיצויים,                    התשכ"א-1961</w:t>
      </w:r>
      <w:r w:rsidR="00164126">
        <w:rPr>
          <w:rFonts w:ascii="Arial" w:hAnsi="Arial" w:hint="cs"/>
          <w:noProof w:val="0"/>
          <w:rtl/>
        </w:rPr>
        <w:t xml:space="preserve"> (להלן: "החוק")</w:t>
      </w:r>
      <w:r w:rsidR="003E2DEC">
        <w:rPr>
          <w:rFonts w:ascii="Arial" w:hAnsi="Arial" w:hint="cs"/>
          <w:noProof w:val="0"/>
          <w:rtl/>
        </w:rPr>
        <w:t xml:space="preserve">, כי נזק עקיף מוגבל להפסד או מניעת רווח כתוצאה מנזק מלחמה בתחום </w:t>
      </w:r>
      <w:r w:rsidR="003E2DEC" w:rsidRPr="00264517">
        <w:rPr>
          <w:rFonts w:ascii="Arial" w:hAnsi="Arial" w:hint="cs"/>
          <w:b/>
          <w:bCs/>
          <w:noProof w:val="0"/>
          <w:rtl/>
        </w:rPr>
        <w:t>ישוב ספר</w:t>
      </w:r>
      <w:r w:rsidR="003E2DEC">
        <w:rPr>
          <w:rFonts w:ascii="Arial" w:hAnsi="Arial" w:hint="cs"/>
          <w:noProof w:val="0"/>
          <w:rtl/>
        </w:rPr>
        <w:t xml:space="preserve"> או מחמת אי אפשרות לנצל נכסים המצויים בתחום </w:t>
      </w:r>
      <w:r w:rsidR="003E2DEC" w:rsidRPr="00264517">
        <w:rPr>
          <w:rFonts w:ascii="Arial" w:hAnsi="Arial" w:hint="cs"/>
          <w:b/>
          <w:bCs/>
          <w:noProof w:val="0"/>
          <w:rtl/>
        </w:rPr>
        <w:t>ישוב ספר</w:t>
      </w:r>
      <w:r w:rsidR="003E2DEC">
        <w:rPr>
          <w:rFonts w:ascii="Arial" w:hAnsi="Arial" w:hint="cs"/>
          <w:noProof w:val="0"/>
          <w:rtl/>
        </w:rPr>
        <w:t xml:space="preserve"> עקב פעולות מלחמה. על פי הודעה בדבר יישובי ספר ל</w:t>
      </w:r>
      <w:r w:rsidR="008B6D1D">
        <w:rPr>
          <w:rFonts w:ascii="Arial" w:hAnsi="Arial" w:hint="cs"/>
          <w:noProof w:val="0"/>
          <w:rtl/>
        </w:rPr>
        <w:t>פי החוק (י"פ 4026 מיום 13.7.92, ע' 4014) היישוב אלון מורה אינו נכלל במסגרת יישובי הספר</w:t>
      </w:r>
      <w:r w:rsidR="00E649DE">
        <w:rPr>
          <w:rFonts w:ascii="Arial" w:hAnsi="Arial" w:hint="cs"/>
          <w:noProof w:val="0"/>
          <w:rtl/>
        </w:rPr>
        <w:t xml:space="preserve"> ובשל זאת ידי הוועדה היו כבולות, אף אם המדובר ביישוב הסובל ממצב ביטחוני בדומה ליישובים אחרים המוגדרים כיישוב</w:t>
      </w:r>
      <w:r w:rsidR="00264517">
        <w:rPr>
          <w:rFonts w:ascii="Arial" w:hAnsi="Arial" w:hint="cs"/>
          <w:noProof w:val="0"/>
          <w:rtl/>
        </w:rPr>
        <w:t>י</w:t>
      </w:r>
      <w:r w:rsidR="005E24E1">
        <w:rPr>
          <w:rFonts w:ascii="Arial" w:hAnsi="Arial" w:hint="cs"/>
          <w:noProof w:val="0"/>
          <w:rtl/>
        </w:rPr>
        <w:t xml:space="preserve"> ספר</w:t>
      </w:r>
      <w:r w:rsidR="00264517">
        <w:rPr>
          <w:rFonts w:ascii="Arial" w:hAnsi="Arial" w:hint="cs"/>
          <w:noProof w:val="0"/>
          <w:rtl/>
        </w:rPr>
        <w:t xml:space="preserve"> </w:t>
      </w:r>
      <w:r w:rsidR="005E24E1">
        <w:rPr>
          <w:rFonts w:ascii="Arial" w:hAnsi="Arial" w:hint="cs"/>
          <w:noProof w:val="0"/>
          <w:rtl/>
        </w:rPr>
        <w:t xml:space="preserve">(ראו את </w:t>
      </w:r>
      <w:r w:rsidR="00264517">
        <w:rPr>
          <w:rFonts w:ascii="Arial" w:hAnsi="Arial" w:hint="cs"/>
          <w:noProof w:val="0"/>
          <w:rtl/>
        </w:rPr>
        <w:t>החלטת הועדה</w:t>
      </w:r>
      <w:r w:rsidR="005E24E1">
        <w:rPr>
          <w:rFonts w:ascii="Arial" w:hAnsi="Arial" w:hint="cs"/>
          <w:noProof w:val="0"/>
          <w:rtl/>
        </w:rPr>
        <w:t xml:space="preserve"> שצורפה לכתב התשובה מטעם המשיב בעניין </w:t>
      </w:r>
      <w:r w:rsidR="004A0EF4" w:rsidRPr="005E24E1">
        <w:rPr>
          <w:rFonts w:ascii="Arial" w:hAnsi="Arial" w:hint="cs"/>
          <w:b/>
          <w:bCs/>
          <w:noProof w:val="0"/>
          <w:rtl/>
        </w:rPr>
        <w:t>יאיר עבודות צנרת ועור</w:t>
      </w:r>
      <w:r w:rsidR="005E24E1" w:rsidRPr="005E24E1">
        <w:rPr>
          <w:rFonts w:ascii="Arial" w:hAnsi="Arial" w:hint="cs"/>
          <w:b/>
          <w:bCs/>
          <w:noProof w:val="0"/>
          <w:rtl/>
        </w:rPr>
        <w:t>רים נוספים נ' מנהל קרן פיצויים ופעולות איבה</w:t>
      </w:r>
      <w:r w:rsidR="005E24E1">
        <w:rPr>
          <w:rFonts w:ascii="Arial" w:hAnsi="Arial" w:hint="cs"/>
          <w:noProof w:val="0"/>
          <w:rtl/>
        </w:rPr>
        <w:t xml:space="preserve"> (12.6.12) ואת ההחלטה הנוספת שצו</w:t>
      </w:r>
      <w:r w:rsidR="007065A6">
        <w:rPr>
          <w:rFonts w:ascii="Arial" w:hAnsi="Arial" w:hint="cs"/>
          <w:noProof w:val="0"/>
          <w:rtl/>
        </w:rPr>
        <w:t xml:space="preserve">רפה </w:t>
      </w:r>
      <w:r w:rsidR="005E24E1">
        <w:rPr>
          <w:rFonts w:ascii="Arial" w:hAnsi="Arial" w:hint="cs"/>
          <w:noProof w:val="0"/>
          <w:rtl/>
        </w:rPr>
        <w:t xml:space="preserve">בתיק </w:t>
      </w:r>
      <w:r w:rsidR="005E24E1">
        <w:rPr>
          <w:rFonts w:ascii="Arial" w:hAnsi="Arial" w:hint="cs"/>
          <w:noProof w:val="0"/>
          <w:rtl/>
        </w:rPr>
        <w:lastRenderedPageBreak/>
        <w:t xml:space="preserve">ועד"ע 34/10 </w:t>
      </w:r>
      <w:r w:rsidR="005E24E1" w:rsidRPr="005E24E1">
        <w:rPr>
          <w:rFonts w:ascii="Arial" w:hAnsi="Arial" w:hint="cs"/>
          <w:b/>
          <w:bCs/>
          <w:noProof w:val="0"/>
          <w:rtl/>
        </w:rPr>
        <w:t>ראובן חניה ואחרים נ' מנהל מס רכוש וקרן פיצויים</w:t>
      </w:r>
      <w:r w:rsidR="005E24E1">
        <w:rPr>
          <w:rFonts w:ascii="Arial" w:hAnsi="Arial" w:hint="cs"/>
          <w:noProof w:val="0"/>
          <w:rtl/>
        </w:rPr>
        <w:t xml:space="preserve"> (29.2.12)).</w:t>
      </w:r>
      <w:r w:rsidR="007065A6">
        <w:rPr>
          <w:rFonts w:ascii="Arial" w:hAnsi="Arial" w:hint="cs"/>
          <w:noProof w:val="0"/>
          <w:rtl/>
        </w:rPr>
        <w:t xml:space="preserve"> </w:t>
      </w:r>
      <w:r w:rsidR="005E24E1">
        <w:rPr>
          <w:rFonts w:ascii="Arial" w:hAnsi="Arial" w:hint="cs"/>
          <w:noProof w:val="0"/>
          <w:rtl/>
        </w:rPr>
        <w:t>לאור האמור,</w:t>
      </w:r>
      <w:r w:rsidR="004A0EF4">
        <w:rPr>
          <w:rFonts w:ascii="Arial" w:hAnsi="Arial" w:hint="cs"/>
          <w:noProof w:val="0"/>
          <w:rtl/>
        </w:rPr>
        <w:t xml:space="preserve"> החלטת הוועדה שלא להכיר בנזקים העקיפים ניתנה כדין. </w:t>
      </w:r>
    </w:p>
    <w:p w:rsidR="004A0EF4" w:rsidRDefault="004A0EF4" w:rsidP="008B5FFC">
      <w:pPr>
        <w:spacing w:line="360" w:lineRule="auto"/>
        <w:ind w:left="369" w:hanging="369"/>
        <w:jc w:val="both"/>
        <w:rPr>
          <w:rFonts w:ascii="Arial" w:hAnsi="Arial"/>
          <w:noProof w:val="0"/>
          <w:rtl/>
        </w:rPr>
      </w:pPr>
    </w:p>
    <w:p w:rsidR="004A0EF4" w:rsidRPr="004A0EF4" w:rsidRDefault="004A0EF4" w:rsidP="008B5FFC">
      <w:pPr>
        <w:spacing w:line="360" w:lineRule="auto"/>
        <w:ind w:left="369" w:hanging="369"/>
        <w:jc w:val="both"/>
        <w:rPr>
          <w:rFonts w:ascii="Arial" w:hAnsi="Arial"/>
          <w:b/>
          <w:bCs/>
          <w:noProof w:val="0"/>
          <w:u w:val="single"/>
          <w:rtl/>
        </w:rPr>
      </w:pPr>
      <w:r w:rsidRPr="004A0EF4">
        <w:rPr>
          <w:rFonts w:ascii="Arial" w:hAnsi="Arial" w:hint="cs"/>
          <w:b/>
          <w:bCs/>
          <w:noProof w:val="0"/>
          <w:u w:val="single"/>
          <w:rtl/>
        </w:rPr>
        <w:t>סוף דבר</w:t>
      </w:r>
    </w:p>
    <w:p w:rsidR="004A0EF4" w:rsidRDefault="004A0EF4" w:rsidP="008B5FFC">
      <w:pPr>
        <w:spacing w:line="360" w:lineRule="auto"/>
        <w:ind w:left="369" w:hanging="369"/>
        <w:jc w:val="both"/>
        <w:rPr>
          <w:rFonts w:ascii="Arial" w:hAnsi="Arial"/>
          <w:noProof w:val="0"/>
          <w:rtl/>
        </w:rPr>
      </w:pPr>
      <w:r>
        <w:rPr>
          <w:rFonts w:ascii="Arial" w:hAnsi="Arial" w:hint="cs"/>
          <w:noProof w:val="0"/>
          <w:rtl/>
        </w:rPr>
        <w:t>24.</w:t>
      </w:r>
      <w:r>
        <w:rPr>
          <w:rFonts w:ascii="Arial" w:hAnsi="Arial" w:hint="cs"/>
          <w:noProof w:val="0"/>
          <w:rtl/>
        </w:rPr>
        <w:tab/>
        <w:t xml:space="preserve">לאור כל האמור לעיל, הערעור נדחה בזאת. </w:t>
      </w:r>
    </w:p>
    <w:p w:rsidR="004A0EF4" w:rsidRDefault="004A0EF4" w:rsidP="008B5FFC">
      <w:pPr>
        <w:spacing w:line="360" w:lineRule="auto"/>
        <w:ind w:left="369" w:hanging="369"/>
        <w:jc w:val="both"/>
        <w:rPr>
          <w:rFonts w:ascii="Arial" w:hAnsi="Arial"/>
          <w:noProof w:val="0"/>
          <w:rtl/>
        </w:rPr>
      </w:pPr>
    </w:p>
    <w:p w:rsidR="0076361F" w:rsidRDefault="004A0EF4" w:rsidP="004A0EF4">
      <w:pPr>
        <w:spacing w:line="360" w:lineRule="auto"/>
        <w:ind w:left="369" w:hanging="369"/>
        <w:jc w:val="both"/>
        <w:rPr>
          <w:rFonts w:ascii="Arial" w:hAnsi="Arial"/>
          <w:noProof w:val="0"/>
          <w:rtl/>
        </w:rPr>
      </w:pPr>
      <w:r>
        <w:rPr>
          <w:rFonts w:ascii="Arial" w:hAnsi="Arial" w:hint="cs"/>
          <w:noProof w:val="0"/>
          <w:rtl/>
        </w:rPr>
        <w:t>25.</w:t>
      </w:r>
      <w:r>
        <w:rPr>
          <w:rFonts w:ascii="Arial" w:hAnsi="Arial" w:hint="cs"/>
          <w:noProof w:val="0"/>
          <w:rtl/>
        </w:rPr>
        <w:tab/>
        <w:t xml:space="preserve">המערער יישא בהוצאות ושכר טרחת המשיב בסך כולל של 4,000 ש"ח. </w:t>
      </w:r>
    </w:p>
    <w:p w:rsidR="00AD3C2E" w:rsidRDefault="00AD3C2E" w:rsidP="0076361F">
      <w:pPr>
        <w:spacing w:line="360" w:lineRule="auto"/>
        <w:ind w:left="369" w:hanging="369"/>
        <w:jc w:val="both"/>
        <w:rPr>
          <w:rFonts w:ascii="Arial" w:hAnsi="Arial"/>
          <w:noProof w:val="0"/>
          <w:rtl/>
        </w:rPr>
      </w:pPr>
    </w:p>
    <w:p w:rsidR="00457177" w:rsidRDefault="007065A6" w:rsidP="007065A6">
      <w:pPr>
        <w:spacing w:before="120" w:line="360" w:lineRule="auto"/>
        <w:jc w:val="both"/>
        <w:rPr>
          <w:rFonts w:ascii="Arial" w:hAnsi="Arial"/>
          <w:b/>
          <w:bCs/>
          <w:noProof w:val="0"/>
          <w:rtl/>
        </w:rPr>
      </w:pPr>
      <w:r>
        <w:rPr>
          <w:rFonts w:ascii="Arial" w:hAnsi="Arial" w:hint="cs"/>
          <w:b/>
          <w:bCs/>
          <w:noProof w:val="0"/>
          <w:rtl/>
        </w:rPr>
        <w:t>המזכירות מתבקשת להמציא</w:t>
      </w:r>
      <w:r w:rsidR="00457177" w:rsidRPr="00740AD6">
        <w:rPr>
          <w:rFonts w:ascii="Arial" w:hAnsi="Arial" w:hint="cs"/>
          <w:b/>
          <w:bCs/>
          <w:noProof w:val="0"/>
          <w:rtl/>
        </w:rPr>
        <w:t xml:space="preserve"> את פסק הדין </w:t>
      </w:r>
      <w:r>
        <w:rPr>
          <w:rFonts w:ascii="Arial" w:hAnsi="Arial" w:hint="cs"/>
          <w:b/>
          <w:bCs/>
          <w:noProof w:val="0"/>
          <w:rtl/>
        </w:rPr>
        <w:t>ל</w:t>
      </w:r>
      <w:r w:rsidR="00457177" w:rsidRPr="00740AD6">
        <w:rPr>
          <w:rFonts w:ascii="Arial" w:hAnsi="Arial" w:hint="cs"/>
          <w:b/>
          <w:bCs/>
          <w:noProof w:val="0"/>
          <w:rtl/>
        </w:rPr>
        <w:t xml:space="preserve">באי כוח הצדדים. </w:t>
      </w:r>
    </w:p>
    <w:p w:rsidR="007065A6" w:rsidRPr="00740AD6" w:rsidRDefault="007065A6" w:rsidP="004E4744">
      <w:pPr>
        <w:spacing w:before="120" w:line="360" w:lineRule="auto"/>
        <w:jc w:val="both"/>
        <w:rPr>
          <w:rFonts w:ascii="Arial" w:hAnsi="Arial"/>
          <w:b/>
          <w:bCs/>
          <w:noProof w:val="0"/>
          <w:rtl/>
        </w:rPr>
      </w:pPr>
    </w:p>
    <w:p w:rsidR="00694556" w:rsidRPr="00740AD6" w:rsidRDefault="0043502B" w:rsidP="004E4744">
      <w:pPr>
        <w:spacing w:before="120" w:line="360" w:lineRule="auto"/>
        <w:jc w:val="both"/>
        <w:rPr>
          <w:rFonts w:ascii="Arial" w:hAnsi="Arial"/>
          <w:b/>
          <w:bCs/>
          <w:noProof w:val="0"/>
          <w:rtl/>
        </w:rPr>
      </w:pPr>
      <w:r w:rsidRPr="00740AD6">
        <w:rPr>
          <w:rFonts w:ascii="Arial" w:hAnsi="Arial"/>
          <w:b/>
          <w:bCs/>
          <w:noProof w:val="0"/>
          <w:rtl/>
        </w:rPr>
        <w:t>נית</w:t>
      </w:r>
      <w:r w:rsidR="00860102" w:rsidRPr="00740AD6">
        <w:rPr>
          <w:rFonts w:ascii="Arial" w:hAnsi="Arial" w:hint="cs"/>
          <w:b/>
          <w:bCs/>
          <w:noProof w:val="0"/>
          <w:rtl/>
        </w:rPr>
        <w:t>ן</w:t>
      </w:r>
      <w:r w:rsidR="00005C8B" w:rsidRPr="00740AD6">
        <w:rPr>
          <w:rFonts w:ascii="Arial" w:hAnsi="Arial"/>
          <w:b/>
          <w:bCs/>
          <w:noProof w:val="0"/>
          <w:rtl/>
        </w:rPr>
        <w:t xml:space="preserve"> ה</w:t>
      </w:r>
      <w:r w:rsidR="00B60469" w:rsidRPr="00740AD6">
        <w:rPr>
          <w:rFonts w:ascii="Arial" w:hAnsi="Arial" w:hint="cs"/>
          <w:b/>
          <w:bCs/>
          <w:noProof w:val="0"/>
          <w:rtl/>
        </w:rPr>
        <w:t>י</w:t>
      </w:r>
      <w:r w:rsidR="00005C8B" w:rsidRPr="00740AD6">
        <w:rPr>
          <w:rFonts w:ascii="Arial" w:hAnsi="Arial"/>
          <w:b/>
          <w:bCs/>
          <w:noProof w:val="0"/>
          <w:rtl/>
        </w:rPr>
        <w:t>ום</w:t>
      </w:r>
      <w:r w:rsidR="00457177" w:rsidRPr="00740AD6">
        <w:rPr>
          <w:rFonts w:ascii="Arial" w:hAnsi="Arial" w:hint="cs"/>
          <w:b/>
          <w:bCs/>
          <w:noProof w:val="0"/>
          <w:rtl/>
        </w:rPr>
        <w:t xml:space="preserve"> בהעדר הצדדים</w:t>
      </w:r>
      <w:r w:rsidR="00005C8B" w:rsidRPr="00740AD6">
        <w:rPr>
          <w:rFonts w:ascii="Arial" w:hAnsi="Arial"/>
          <w:b/>
          <w:bCs/>
          <w:noProof w:val="0"/>
          <w:rtl/>
        </w:rPr>
        <w:t xml:space="preserve">, </w:t>
      </w:r>
      <w:sdt>
        <w:sdtPr>
          <w:rPr>
            <w:b/>
            <w:bCs/>
            <w:rtl/>
          </w:rPr>
          <w:alias w:val="1455"/>
          <w:tag w:val="1455"/>
          <w:id w:val="1666048407"/>
          <w:text w:multiLine="1"/>
        </w:sdtPr>
        <w:sdtEndPr/>
        <w:sdtContent>
          <w:r>
            <w:rPr>
              <w:rFonts w:ascii="Arial" w:hAnsi="Arial"/>
              <w:b/>
              <w:bCs/>
              <w:noProof w:val="0"/>
              <w:rtl/>
            </w:rPr>
            <w:t>ו' תשרי תשפ"ד</w:t>
          </w:r>
        </w:sdtContent>
      </w:sdt>
      <w:r w:rsidR="00005C8B" w:rsidRPr="00740AD6">
        <w:rPr>
          <w:rFonts w:ascii="Arial" w:hAnsi="Arial"/>
          <w:b/>
          <w:bCs/>
          <w:noProof w:val="0"/>
          <w:rtl/>
        </w:rPr>
        <w:t xml:space="preserve">, </w:t>
      </w:r>
      <w:sdt>
        <w:sdtPr>
          <w:rPr>
            <w:b/>
            <w:bCs/>
            <w:rtl/>
          </w:rPr>
          <w:alias w:val="1456"/>
          <w:tag w:val="1456"/>
          <w:id w:val="-1186288958"/>
          <w:text w:multiLine="1"/>
        </w:sdtPr>
        <w:sdtEndPr/>
        <w:sdtContent>
          <w:r>
            <w:rPr>
              <w:rFonts w:ascii="Arial" w:hAnsi="Arial"/>
              <w:b/>
              <w:bCs/>
              <w:noProof w:val="0"/>
              <w:rtl/>
            </w:rPr>
            <w:t>21 ספטמבר 2023</w:t>
          </w:r>
        </w:sdtContent>
      </w:sdt>
      <w:r w:rsidR="00457177" w:rsidRPr="00740AD6">
        <w:rPr>
          <w:rFonts w:ascii="Arial" w:hAnsi="Arial" w:hint="cs"/>
          <w:b/>
          <w:bCs/>
          <w:noProof w:val="0"/>
          <w:rtl/>
        </w:rPr>
        <w:t xml:space="preserve">. </w:t>
      </w:r>
    </w:p>
    <w:p w:rsidR="00C43648" w:rsidRDefault="00D6789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7290226"/>
        </w:sdtPr>
        <w:sdtEndPr/>
        <w:sdtContent>
          <w:r w:rsidR="00852C57">
            <w:drawing>
              <wp:inline distT="0" distB="0" distL="0" distR="0" wp14:editId="50D07946">
                <wp:extent cx="151447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742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89C" w:rsidRDefault="00D6789C">
      <w:r>
        <w:separator/>
      </w:r>
    </w:p>
  </w:endnote>
  <w:endnote w:type="continuationSeparator" w:id="0">
    <w:p w:rsidR="00D6789C" w:rsidRDefault="00D67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DE8" w:rsidRDefault="00FA3DE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7F03F2" w:rsidRDefault="000C3B60">
    <w:pPr>
      <w:pStyle w:val="a4"/>
      <w:jc w:val="center"/>
      <w:rPr>
        <w:rStyle w:val="ab"/>
        <w:rFonts w:ascii="David" w:hAnsi="David"/>
      </w:rPr>
    </w:pPr>
    <w:r w:rsidRPr="007F03F2">
      <w:rPr>
        <w:rStyle w:val="ab"/>
        <w:rFonts w:ascii="David" w:hAnsi="David"/>
      </w:rPr>
      <w:fldChar w:fldCharType="begin"/>
    </w:r>
    <w:r w:rsidR="00005C8B" w:rsidRPr="007F03F2">
      <w:rPr>
        <w:rStyle w:val="ab"/>
        <w:rFonts w:ascii="David" w:hAnsi="David"/>
      </w:rPr>
      <w:instrText xml:space="preserve"> PAGE </w:instrText>
    </w:r>
    <w:r w:rsidRPr="007F03F2">
      <w:rPr>
        <w:rStyle w:val="ab"/>
        <w:rFonts w:ascii="David" w:hAnsi="David"/>
      </w:rPr>
      <w:fldChar w:fldCharType="separate"/>
    </w:r>
    <w:r w:rsidR="00FA3DE8">
      <w:rPr>
        <w:rStyle w:val="ab"/>
        <w:rFonts w:ascii="David" w:hAnsi="David"/>
        <w:rtl/>
      </w:rPr>
      <w:t>1</w:t>
    </w:r>
    <w:r w:rsidRPr="007F03F2">
      <w:rPr>
        <w:rStyle w:val="ab"/>
        <w:rFonts w:ascii="David" w:hAnsi="David"/>
      </w:rPr>
      <w:fldChar w:fldCharType="end"/>
    </w:r>
    <w:r w:rsidR="00005C8B" w:rsidRPr="007F03F2">
      <w:rPr>
        <w:rStyle w:val="ab"/>
        <w:rFonts w:ascii="David" w:hAnsi="David"/>
        <w:rtl/>
      </w:rPr>
      <w:t xml:space="preserve"> מתוך </w:t>
    </w:r>
    <w:r w:rsidRPr="007F03F2">
      <w:rPr>
        <w:rStyle w:val="ab"/>
        <w:rFonts w:ascii="David" w:hAnsi="David"/>
      </w:rPr>
      <w:fldChar w:fldCharType="begin"/>
    </w:r>
    <w:r w:rsidR="00005C8B" w:rsidRPr="007F03F2">
      <w:rPr>
        <w:rStyle w:val="ab"/>
        <w:rFonts w:ascii="David" w:hAnsi="David"/>
      </w:rPr>
      <w:instrText xml:space="preserve"> NUMPAGES </w:instrText>
    </w:r>
    <w:r w:rsidRPr="007F03F2">
      <w:rPr>
        <w:rStyle w:val="ab"/>
        <w:rFonts w:ascii="David" w:hAnsi="David"/>
      </w:rPr>
      <w:fldChar w:fldCharType="separate"/>
    </w:r>
    <w:r w:rsidR="00FA3DE8">
      <w:rPr>
        <w:rStyle w:val="ab"/>
        <w:rFonts w:ascii="David" w:hAnsi="David"/>
        <w:rtl/>
      </w:rPr>
      <w:t>6</w:t>
    </w:r>
    <w:r w:rsidRPr="007F03F2">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DE8" w:rsidRDefault="00FA3DE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89C" w:rsidRDefault="00D6789C">
      <w:r>
        <w:separator/>
      </w:r>
    </w:p>
  </w:footnote>
  <w:footnote w:type="continuationSeparator" w:id="0">
    <w:p w:rsidR="00D6789C" w:rsidRDefault="00D67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DE8" w:rsidRDefault="00FA3DE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6789C" w:rsidP="00CF7214">
          <w:pPr>
            <w:rPr>
              <w:sz w:val="20"/>
              <w:szCs w:val="20"/>
              <w:rtl/>
            </w:rPr>
          </w:pPr>
          <w:sdt>
            <w:sdtPr>
              <w:rPr>
                <w:rtl/>
              </w:rPr>
              <w:alias w:val="1170"/>
              <w:tag w:val="1170"/>
              <w:id w:val="1066377040"/>
              <w:text w:multiLine="1"/>
            </w:sdtPr>
            <w:sdtEndPr/>
            <w:sdtContent>
              <w:r w:rsidR="00B859C5">
                <w:rPr>
                  <w:b/>
                  <w:bCs/>
                  <w:noProof w:val="0"/>
                  <w:sz w:val="26"/>
                  <w:szCs w:val="26"/>
                  <w:rtl/>
                </w:rPr>
                <w:t>ע"מ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38342-10-22</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גורבצ'בסקי נ' מדינת ישראל</w:t>
              </w:r>
            </w:sdtContent>
          </w:sdt>
          <w:r w:rsidR="007C2453">
            <w:rPr>
              <w:b/>
              <w:bCs/>
              <w:noProof w:val="0"/>
              <w:sz w:val="26"/>
              <w:szCs w:val="26"/>
              <w:rtl/>
            </w:rPr>
            <w:t xml:space="preserve"> </w:t>
          </w:r>
          <w:r w:rsidR="007D45E3">
            <w:rPr>
              <w:rFonts w:hint="cs"/>
              <w:rtl/>
            </w:rPr>
            <w:t xml:space="preserve">    </w:t>
          </w:r>
          <w:r w:rsidR="00CF7214">
            <w:rPr>
              <w:rFonts w:hint="cs"/>
              <w:rtl/>
            </w:rPr>
            <w:t xml:space="preserve">                </w:t>
          </w:r>
          <w:r w:rsidR="007D45E3">
            <w:rPr>
              <w:rFonts w:hint="cs"/>
              <w:rtl/>
            </w:rPr>
            <w:t xml:space="preserve">   </w:t>
          </w:r>
          <w:r w:rsidR="00CF7214">
            <w:rPr>
              <w:rFonts w:hint="cs"/>
              <w:rtl/>
            </w:rPr>
            <w:t xml:space="preserve">             </w:t>
          </w:r>
          <w:r w:rsidR="00CF7214" w:rsidRPr="00CF7214">
            <w:rPr>
              <w:rFonts w:hint="cs"/>
              <w:b/>
              <w:bCs/>
              <w:rtl/>
            </w:rPr>
            <w:t>21 בספטמבר 2023</w:t>
          </w:r>
          <w:r w:rsidR="007D45E3">
            <w:rPr>
              <w:rFonts w:hint="cs"/>
              <w:rtl/>
            </w:rPr>
            <w:t xml:space="preserve">               </w:t>
          </w:r>
          <w:r w:rsidR="007D45E3">
            <w:rPr>
              <w:rFonts w:hint="cs"/>
              <w:sz w:val="20"/>
              <w:szCs w:val="20"/>
              <w:rtl/>
            </w:rPr>
            <w:t xml:space="preserve">                                       </w:t>
          </w:r>
        </w:p>
        <w:p w:rsidR="008D10B2" w:rsidRPr="00E1068A" w:rsidRDefault="00CF7214" w:rsidP="00CF7214">
          <w:pPr>
            <w:rPr>
              <w:sz w:val="20"/>
              <w:szCs w:val="20"/>
              <w:rtl/>
            </w:rPr>
          </w:pPr>
          <w:r w:rsidRPr="00E1068A">
            <w:rPr>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DE8" w:rsidRDefault="00FA3DE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2C1A0E"/>
    <w:multiLevelType w:val="hybridMultilevel"/>
    <w:tmpl w:val="D556CF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68408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684083&amp;lt;/CaseID&amp;gt;_x000d__x000a_        &amp;lt;CaseMonth&amp;gt;10&amp;lt;/CaseMonth&amp;gt;_x000d__x000a_        &amp;lt;CaseYear&amp;gt;2022&amp;lt;/CaseYear&amp;gt;_x000d__x000a_        &amp;lt;CaseNumber&amp;gt;38342&amp;lt;/CaseNumber&amp;gt;_x000d__x000a_        &amp;lt;NumeratorGroupID&amp;gt;1&amp;lt;/NumeratorGroupID&amp;gt;_x000d__x000a_        &amp;lt;CaseName&amp;gt;גורבצ&amp;#39;בסקי נ&amp;#39; מדינת ישראל&amp;lt;/CaseName&amp;gt;_x000d__x000a_        &amp;lt;CourtID&amp;gt;14&amp;lt;/CourtID&amp;gt;_x000d__x000a_        &amp;lt;CaseTypeID&amp;gt;10113&amp;lt;/CaseTypeID&amp;gt;_x000d__x000a_        &amp;lt;CaseInterestID&amp;gt;78&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1&amp;lt;/PrivilegeID&amp;gt;_x000d__x000a_        &amp;lt;IsAppealingCaseExist&amp;gt;false&amp;lt;/IsAppealingCaseExist&amp;gt;_x000d__x000a_        &amp;lt;CaseDisplayIdentifier&amp;gt;38342-10-22&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2-10-23T22:57:00+03:00&amp;lt;/CaseOpenDate&amp;gt;_x000d__x000a_        &amp;lt;PleaTypeID&amp;gt;6&amp;lt;/PleaTypeID&amp;gt;_x000d__x000a_        &amp;lt;CourtLevelID&amp;gt;2&amp;lt;/CourtLevelID&amp;gt;_x000d__x000a_        &amp;lt;CourtLevelCaseTypeInterestID&amp;gt;79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684083&amp;lt;/CaseID&amp;gt;_x000d__x000a_        &amp;lt;CaseMonth&amp;gt;10&amp;lt;/CaseMonth&amp;gt;_x000d__x000a_        &amp;lt;CaseYear&amp;gt;2022&amp;lt;/CaseYear&amp;gt;_x000d__x000a_        &amp;lt;CaseNumber&amp;gt;38342&amp;lt;/CaseNumber&amp;gt;_x000d__x000a_        &amp;lt;NumeratorGroupID&amp;gt;1&amp;lt;/NumeratorGroupID&amp;gt;_x000d__x000a_        &amp;lt;CaseName&amp;gt;גורבצ&amp;#39;בסקי נ&amp;#39; מדינת ישראל&amp;lt;/CaseName&amp;gt;_x000d__x000a_        &amp;lt;CourtID&amp;gt;14&amp;lt;/CourtID&amp;gt;_x000d__x000a_        &amp;lt;CaseTypeID&amp;gt;10113&amp;lt;/CaseTypeID&amp;gt;_x000d__x000a_        &amp;lt;CaseInterestID&amp;gt;78&amp;lt;/CaseInterestID&amp;gt;_x000d__x000a_        &amp;lt;CaseJudgeName&amp;gt;אביגדור דורות&amp;lt;/CaseJudgeName&amp;gt;_x000d__x000a_        &amp;lt;ProcedureID&amp;gt;1&amp;lt;/ProcedureID&amp;gt;_x000d__x000a_        &amp;lt;CaseStatusID&amp;gt;1&amp;lt;/CaseStatusID&amp;gt;_x000d__x000a_        &amp;lt;ProceedingID&amp;gt;14&amp;lt;/ProceedingID&amp;gt;_x000d__x000a_        &amp;lt;IsCaseLinked&amp;gt;false&amp;lt;/IsCaseLinked&amp;gt;_x000d__x000a_        &amp;lt;PrivilegeID&amp;gt;1&amp;lt;/PrivilegeID&amp;gt;_x000d__x000a_        &amp;lt;IsAppealingCaseExist&amp;gt;false&amp;lt;/IsAppealingCaseExist&amp;gt;_x000d__x000a_        &amp;lt;CaseDisplayIdentifier&amp;gt;38342-10-22&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2-10-23T22:57:00+03:00&amp;lt;/CaseOpenDate&amp;gt;_x000d__x000a_        &amp;lt;PleaTypeID&amp;gt;6&amp;lt;/PleaTypeID&amp;gt;_x000d__x000a_        &amp;lt;CourtLevelID&amp;gt;2&amp;lt;/CourtLevelID&amp;gt;_x000d__x000a_        &amp;lt;CourtLevelCaseTypeInterestID&amp;gt;792&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רעורים אזרחיים&amp;lt;/CourtDisplayName&amp;gt;_x000d__x000a_        &amp;lt;IsAllStartDataCollected&amp;gt;true&amp;lt;/IsAllStartDataCollected&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280573&amp;lt;/DecisionID&amp;gt;_x000d__x000a_        &amp;lt;DecisionName&amp;gt;פסק דין  שניתנה ע&amp;quot;י  אביגדור דורות&amp;lt;/DecisionName&amp;gt;_x000d__x000a_        &amp;lt;DecisionStatusID&amp;gt;1&amp;lt;/DecisionStatusID&amp;gt;_x000d__x000a_        &amp;lt;DecisionStatusChangeDate&amp;gt;2023-09-21T14:55:15.67+03:00&amp;lt;/DecisionStatusChangeDate&amp;gt;_x000d__x000a_        &amp;lt;DecisionSignatureDate&amp;gt;2023-09-21T14:55:14.957+03:00&amp;lt;/DecisionSignatureDate&amp;gt;_x000d__x000a_        &amp;lt;DecisionSignatureUserID&amp;gt;055121115@GOV.IL&amp;lt;/DecisionSignatureUserID&amp;gt;_x000d__x000a_        &amp;lt;DecisionCreateDate&amp;gt;2023-09-21T13:45:12.943+03:00&amp;lt;/DecisionCreateDate&amp;gt;_x000d__x000a_        &amp;lt;DecisionChangeDate&amp;gt;2023-09-21T14:55:15.813+03:00&amp;lt;/DecisionChangeDate&amp;gt;_x000d__x000a_        &amp;lt;DecisionChangeUserID&amp;gt;31490912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24924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90912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7280573&amp;lt;/DecisionID&amp;gt;_x000d__x000a_        &amp;lt;CaseID&amp;gt;79684083&amp;lt;/CaseID&amp;gt;_x000d__x000a_        &amp;lt;IsOriginal&amp;gt;true&amp;lt;/IsOriginal&amp;gt;_x000d__x000a_        &amp;lt;IsDeleted&amp;gt;false&amp;lt;/IsDeleted&amp;gt;_x000d__x000a_        &amp;lt;CaseName&amp;gt;גורבצ&amp;#39;בסקי נ&amp;#39; מדינת ישראל&amp;lt;/CaseName&amp;gt;_x000d__x000a_        &amp;lt;CaseDisplayIdentifier&amp;gt;38342-10-22 ע&amp;quot;מ&amp;lt;/CaseDisplayIdentifier&amp;gt;_x000d__x000a_      &amp;lt;/dt_DecisionCase&amp;gt;_x000d__x000a_    &amp;lt;/DecisionDS&amp;gt;_x000d__x000a_  &amp;lt;/diffgr:diffgram&amp;gt;_x000d__x000a_&amp;lt;/DecisionDS&amp;gt;"/>
    <w:docVar w:name="DecisionID" w:val="147280573"/>
    <w:docVar w:name="WordClientAssemblyName" w:val="NGCS.Decision.ClientWordBL"/>
    <w:docVar w:name="WordClientClassName" w:val="NGCS.Decision.ClientWordBL.DecisionClient"/>
  </w:docVars>
  <w:rsids>
    <w:rsidRoot w:val="00694556"/>
    <w:rsid w:val="00000062"/>
    <w:rsid w:val="0000226B"/>
    <w:rsid w:val="00005C8B"/>
    <w:rsid w:val="00015DE1"/>
    <w:rsid w:val="00046CB9"/>
    <w:rsid w:val="000529D2"/>
    <w:rsid w:val="000564AB"/>
    <w:rsid w:val="00064FBD"/>
    <w:rsid w:val="000655CD"/>
    <w:rsid w:val="00076CD5"/>
    <w:rsid w:val="00082AB2"/>
    <w:rsid w:val="00085369"/>
    <w:rsid w:val="000906FE"/>
    <w:rsid w:val="00096AF7"/>
    <w:rsid w:val="000B344B"/>
    <w:rsid w:val="000B67BA"/>
    <w:rsid w:val="000B71DC"/>
    <w:rsid w:val="000C353F"/>
    <w:rsid w:val="000C3B0F"/>
    <w:rsid w:val="000C3B60"/>
    <w:rsid w:val="000E0DD2"/>
    <w:rsid w:val="000E3AF1"/>
    <w:rsid w:val="000F0BC8"/>
    <w:rsid w:val="000F0DD6"/>
    <w:rsid w:val="00103EB8"/>
    <w:rsid w:val="00107E6D"/>
    <w:rsid w:val="0011194C"/>
    <w:rsid w:val="0011424C"/>
    <w:rsid w:val="001173C6"/>
    <w:rsid w:val="00122A9F"/>
    <w:rsid w:val="001367BC"/>
    <w:rsid w:val="00141103"/>
    <w:rsid w:val="00144D2A"/>
    <w:rsid w:val="0014653E"/>
    <w:rsid w:val="00164126"/>
    <w:rsid w:val="00180519"/>
    <w:rsid w:val="00191C82"/>
    <w:rsid w:val="001A1317"/>
    <w:rsid w:val="001A322A"/>
    <w:rsid w:val="001C4003"/>
    <w:rsid w:val="001D4DBF"/>
    <w:rsid w:val="001E75CA"/>
    <w:rsid w:val="001F3AFA"/>
    <w:rsid w:val="00203A74"/>
    <w:rsid w:val="002246B0"/>
    <w:rsid w:val="002265FF"/>
    <w:rsid w:val="00264517"/>
    <w:rsid w:val="00271B56"/>
    <w:rsid w:val="00272E32"/>
    <w:rsid w:val="002857A1"/>
    <w:rsid w:val="002953B6"/>
    <w:rsid w:val="002B0317"/>
    <w:rsid w:val="002C344E"/>
    <w:rsid w:val="002D38F6"/>
    <w:rsid w:val="002E3CC0"/>
    <w:rsid w:val="002E75E9"/>
    <w:rsid w:val="002F0B1E"/>
    <w:rsid w:val="002F72BF"/>
    <w:rsid w:val="00307A6A"/>
    <w:rsid w:val="00307C40"/>
    <w:rsid w:val="00320433"/>
    <w:rsid w:val="003230C7"/>
    <w:rsid w:val="00327E50"/>
    <w:rsid w:val="0033597A"/>
    <w:rsid w:val="00343D89"/>
    <w:rsid w:val="00362612"/>
    <w:rsid w:val="0036743F"/>
    <w:rsid w:val="003715DD"/>
    <w:rsid w:val="003823E0"/>
    <w:rsid w:val="00387DBB"/>
    <w:rsid w:val="003971F8"/>
    <w:rsid w:val="003A4521"/>
    <w:rsid w:val="003B5576"/>
    <w:rsid w:val="003C1A44"/>
    <w:rsid w:val="003D1C8C"/>
    <w:rsid w:val="003E2DEC"/>
    <w:rsid w:val="003E38C7"/>
    <w:rsid w:val="003F4CCB"/>
    <w:rsid w:val="0040096C"/>
    <w:rsid w:val="00414F1F"/>
    <w:rsid w:val="0042105E"/>
    <w:rsid w:val="0043125D"/>
    <w:rsid w:val="0043502B"/>
    <w:rsid w:val="00436EFE"/>
    <w:rsid w:val="004443AC"/>
    <w:rsid w:val="00444B02"/>
    <w:rsid w:val="00451E28"/>
    <w:rsid w:val="00457177"/>
    <w:rsid w:val="00462C62"/>
    <w:rsid w:val="00465D36"/>
    <w:rsid w:val="00492605"/>
    <w:rsid w:val="004A0EF4"/>
    <w:rsid w:val="004C17EE"/>
    <w:rsid w:val="004C4BDF"/>
    <w:rsid w:val="004D1187"/>
    <w:rsid w:val="004D250D"/>
    <w:rsid w:val="004D3AA0"/>
    <w:rsid w:val="004E1987"/>
    <w:rsid w:val="004E2E15"/>
    <w:rsid w:val="004E4744"/>
    <w:rsid w:val="004E6E3C"/>
    <w:rsid w:val="00512A55"/>
    <w:rsid w:val="00520898"/>
    <w:rsid w:val="00523621"/>
    <w:rsid w:val="00524986"/>
    <w:rsid w:val="00526495"/>
    <w:rsid w:val="005268F6"/>
    <w:rsid w:val="00527045"/>
    <w:rsid w:val="00530300"/>
    <w:rsid w:val="00534284"/>
    <w:rsid w:val="00547DB7"/>
    <w:rsid w:val="0055172E"/>
    <w:rsid w:val="00557717"/>
    <w:rsid w:val="00576A86"/>
    <w:rsid w:val="00577E3F"/>
    <w:rsid w:val="005975B7"/>
    <w:rsid w:val="005E24E1"/>
    <w:rsid w:val="005E6B22"/>
    <w:rsid w:val="005F4F09"/>
    <w:rsid w:val="00603F73"/>
    <w:rsid w:val="0061170B"/>
    <w:rsid w:val="006133F1"/>
    <w:rsid w:val="0061431B"/>
    <w:rsid w:val="00622BAA"/>
    <w:rsid w:val="006306CF"/>
    <w:rsid w:val="00644E9A"/>
    <w:rsid w:val="006553E7"/>
    <w:rsid w:val="006623BD"/>
    <w:rsid w:val="006664E1"/>
    <w:rsid w:val="00671BD5"/>
    <w:rsid w:val="006805C1"/>
    <w:rsid w:val="00686C21"/>
    <w:rsid w:val="006931C1"/>
    <w:rsid w:val="00694556"/>
    <w:rsid w:val="006B721F"/>
    <w:rsid w:val="006C30C5"/>
    <w:rsid w:val="006C4D1B"/>
    <w:rsid w:val="006D0FB6"/>
    <w:rsid w:val="006D1019"/>
    <w:rsid w:val="006D3B31"/>
    <w:rsid w:val="006E0D96"/>
    <w:rsid w:val="006E1A53"/>
    <w:rsid w:val="006F0322"/>
    <w:rsid w:val="006F05EB"/>
    <w:rsid w:val="006F56E6"/>
    <w:rsid w:val="006F6389"/>
    <w:rsid w:val="006F72EB"/>
    <w:rsid w:val="006F7CC9"/>
    <w:rsid w:val="00704EDA"/>
    <w:rsid w:val="007065A6"/>
    <w:rsid w:val="007079E5"/>
    <w:rsid w:val="00721122"/>
    <w:rsid w:val="00734689"/>
    <w:rsid w:val="007351F7"/>
    <w:rsid w:val="00740AD6"/>
    <w:rsid w:val="00753019"/>
    <w:rsid w:val="00754801"/>
    <w:rsid w:val="00761441"/>
    <w:rsid w:val="0076185E"/>
    <w:rsid w:val="0076361F"/>
    <w:rsid w:val="007640EB"/>
    <w:rsid w:val="00764B48"/>
    <w:rsid w:val="00777BFB"/>
    <w:rsid w:val="00786499"/>
    <w:rsid w:val="0078784F"/>
    <w:rsid w:val="00795365"/>
    <w:rsid w:val="007A351D"/>
    <w:rsid w:val="007B7765"/>
    <w:rsid w:val="007C2453"/>
    <w:rsid w:val="007C5BDD"/>
    <w:rsid w:val="007D1564"/>
    <w:rsid w:val="007D2C62"/>
    <w:rsid w:val="007D3DAE"/>
    <w:rsid w:val="007D45E3"/>
    <w:rsid w:val="007E6115"/>
    <w:rsid w:val="007E6B8B"/>
    <w:rsid w:val="007F03F2"/>
    <w:rsid w:val="007F4609"/>
    <w:rsid w:val="00805EFF"/>
    <w:rsid w:val="00814468"/>
    <w:rsid w:val="008176A1"/>
    <w:rsid w:val="00820005"/>
    <w:rsid w:val="00844318"/>
    <w:rsid w:val="00852C57"/>
    <w:rsid w:val="00860102"/>
    <w:rsid w:val="008632E9"/>
    <w:rsid w:val="00863B16"/>
    <w:rsid w:val="00863F5D"/>
    <w:rsid w:val="00865C5E"/>
    <w:rsid w:val="00870890"/>
    <w:rsid w:val="00873602"/>
    <w:rsid w:val="008745C1"/>
    <w:rsid w:val="00875D12"/>
    <w:rsid w:val="00876170"/>
    <w:rsid w:val="0088479D"/>
    <w:rsid w:val="00891F42"/>
    <w:rsid w:val="00896889"/>
    <w:rsid w:val="0089790D"/>
    <w:rsid w:val="008A6E97"/>
    <w:rsid w:val="008B2D8C"/>
    <w:rsid w:val="008B5FFC"/>
    <w:rsid w:val="008B6D1D"/>
    <w:rsid w:val="008C5714"/>
    <w:rsid w:val="008D10B2"/>
    <w:rsid w:val="008D3540"/>
    <w:rsid w:val="008D64EC"/>
    <w:rsid w:val="008D661F"/>
    <w:rsid w:val="008F0C3B"/>
    <w:rsid w:val="00903896"/>
    <w:rsid w:val="00906F3D"/>
    <w:rsid w:val="009218E6"/>
    <w:rsid w:val="00940811"/>
    <w:rsid w:val="0094424E"/>
    <w:rsid w:val="00955642"/>
    <w:rsid w:val="00957A93"/>
    <w:rsid w:val="009622DF"/>
    <w:rsid w:val="0096493F"/>
    <w:rsid w:val="00967DFF"/>
    <w:rsid w:val="00994341"/>
    <w:rsid w:val="009B4348"/>
    <w:rsid w:val="009B60BB"/>
    <w:rsid w:val="009C573B"/>
    <w:rsid w:val="009D1A48"/>
    <w:rsid w:val="009E1CE7"/>
    <w:rsid w:val="009E461A"/>
    <w:rsid w:val="009E4EA5"/>
    <w:rsid w:val="009F164B"/>
    <w:rsid w:val="009F197E"/>
    <w:rsid w:val="009F323C"/>
    <w:rsid w:val="00A17324"/>
    <w:rsid w:val="00A3392B"/>
    <w:rsid w:val="00A3793C"/>
    <w:rsid w:val="00A46717"/>
    <w:rsid w:val="00A6737E"/>
    <w:rsid w:val="00A72CE8"/>
    <w:rsid w:val="00A84606"/>
    <w:rsid w:val="00A8559E"/>
    <w:rsid w:val="00A85E34"/>
    <w:rsid w:val="00A9144F"/>
    <w:rsid w:val="00A94B64"/>
    <w:rsid w:val="00AA3229"/>
    <w:rsid w:val="00AA7596"/>
    <w:rsid w:val="00AB3AE3"/>
    <w:rsid w:val="00AB5E52"/>
    <w:rsid w:val="00AC3B02"/>
    <w:rsid w:val="00AC3B7B"/>
    <w:rsid w:val="00AC5209"/>
    <w:rsid w:val="00AD3C2E"/>
    <w:rsid w:val="00AE0E34"/>
    <w:rsid w:val="00AE729E"/>
    <w:rsid w:val="00AE7752"/>
    <w:rsid w:val="00AF7FDA"/>
    <w:rsid w:val="00B1422D"/>
    <w:rsid w:val="00B5356E"/>
    <w:rsid w:val="00B60469"/>
    <w:rsid w:val="00B64668"/>
    <w:rsid w:val="00B701C1"/>
    <w:rsid w:val="00B73DF7"/>
    <w:rsid w:val="00B754EC"/>
    <w:rsid w:val="00B809AD"/>
    <w:rsid w:val="00B80CBD"/>
    <w:rsid w:val="00B859C5"/>
    <w:rsid w:val="00B86096"/>
    <w:rsid w:val="00B964D9"/>
    <w:rsid w:val="00BA0A7C"/>
    <w:rsid w:val="00BA517C"/>
    <w:rsid w:val="00BB3D05"/>
    <w:rsid w:val="00BB53D3"/>
    <w:rsid w:val="00BB73BE"/>
    <w:rsid w:val="00BC2D89"/>
    <w:rsid w:val="00BC3588"/>
    <w:rsid w:val="00BC4237"/>
    <w:rsid w:val="00BD6531"/>
    <w:rsid w:val="00BE05B2"/>
    <w:rsid w:val="00BE3766"/>
    <w:rsid w:val="00BF1908"/>
    <w:rsid w:val="00C22D93"/>
    <w:rsid w:val="00C23458"/>
    <w:rsid w:val="00C23AC9"/>
    <w:rsid w:val="00C31120"/>
    <w:rsid w:val="00C34482"/>
    <w:rsid w:val="00C43648"/>
    <w:rsid w:val="00C50A9F"/>
    <w:rsid w:val="00C642FA"/>
    <w:rsid w:val="00C76849"/>
    <w:rsid w:val="00C770E3"/>
    <w:rsid w:val="00C95A57"/>
    <w:rsid w:val="00CA3F49"/>
    <w:rsid w:val="00CC7622"/>
    <w:rsid w:val="00CD4E92"/>
    <w:rsid w:val="00CD608F"/>
    <w:rsid w:val="00CD7BA4"/>
    <w:rsid w:val="00CF6BB7"/>
    <w:rsid w:val="00CF6E9F"/>
    <w:rsid w:val="00CF7214"/>
    <w:rsid w:val="00D04AA4"/>
    <w:rsid w:val="00D27982"/>
    <w:rsid w:val="00D33B86"/>
    <w:rsid w:val="00D44968"/>
    <w:rsid w:val="00D46D6D"/>
    <w:rsid w:val="00D53924"/>
    <w:rsid w:val="00D55D0C"/>
    <w:rsid w:val="00D6789C"/>
    <w:rsid w:val="00D93A13"/>
    <w:rsid w:val="00D96D8C"/>
    <w:rsid w:val="00DA6649"/>
    <w:rsid w:val="00DB7F89"/>
    <w:rsid w:val="00DC1259"/>
    <w:rsid w:val="00DC1BD2"/>
    <w:rsid w:val="00DC2571"/>
    <w:rsid w:val="00DC487C"/>
    <w:rsid w:val="00DD05A8"/>
    <w:rsid w:val="00DD101B"/>
    <w:rsid w:val="00DD4335"/>
    <w:rsid w:val="00DE1E7D"/>
    <w:rsid w:val="00DE6BF6"/>
    <w:rsid w:val="00E00709"/>
    <w:rsid w:val="00E0639A"/>
    <w:rsid w:val="00E1068A"/>
    <w:rsid w:val="00E22C36"/>
    <w:rsid w:val="00E25884"/>
    <w:rsid w:val="00E25B55"/>
    <w:rsid w:val="00E31C2B"/>
    <w:rsid w:val="00E47139"/>
    <w:rsid w:val="00E5426A"/>
    <w:rsid w:val="00E54642"/>
    <w:rsid w:val="00E62BA0"/>
    <w:rsid w:val="00E649DE"/>
    <w:rsid w:val="00E77565"/>
    <w:rsid w:val="00E80CBE"/>
    <w:rsid w:val="00E91955"/>
    <w:rsid w:val="00E9269D"/>
    <w:rsid w:val="00E93B91"/>
    <w:rsid w:val="00E962E3"/>
    <w:rsid w:val="00EB6C79"/>
    <w:rsid w:val="00EC37E9"/>
    <w:rsid w:val="00EF3991"/>
    <w:rsid w:val="00F038D8"/>
    <w:rsid w:val="00F06995"/>
    <w:rsid w:val="00F12D66"/>
    <w:rsid w:val="00F13623"/>
    <w:rsid w:val="00F2221B"/>
    <w:rsid w:val="00F2604C"/>
    <w:rsid w:val="00F271D9"/>
    <w:rsid w:val="00F44D1D"/>
    <w:rsid w:val="00F84B6D"/>
    <w:rsid w:val="00F8764C"/>
    <w:rsid w:val="00F9007F"/>
    <w:rsid w:val="00F957E8"/>
    <w:rsid w:val="00FA09A1"/>
    <w:rsid w:val="00FA311A"/>
    <w:rsid w:val="00FA3DE8"/>
    <w:rsid w:val="00FA5FDA"/>
    <w:rsid w:val="00FB6AB3"/>
    <w:rsid w:val="00FD1419"/>
    <w:rsid w:val="00FD594F"/>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D59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65631" w:rsidP="00365631">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365631"/>
    <w:rsid w:val="0048651F"/>
    <w:rsid w:val="005157ED"/>
    <w:rsid w:val="005171E8"/>
    <w:rsid w:val="00556D67"/>
    <w:rsid w:val="00793995"/>
    <w:rsid w:val="007C6F98"/>
    <w:rsid w:val="007E254A"/>
    <w:rsid w:val="00817811"/>
    <w:rsid w:val="00826573"/>
    <w:rsid w:val="008B4366"/>
    <w:rsid w:val="009133C7"/>
    <w:rsid w:val="009178E4"/>
    <w:rsid w:val="00961B27"/>
    <w:rsid w:val="009A4BEE"/>
    <w:rsid w:val="00A51CA1"/>
    <w:rsid w:val="00AA7CE3"/>
    <w:rsid w:val="00AD53D7"/>
    <w:rsid w:val="00B50DB2"/>
    <w:rsid w:val="00B5335A"/>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563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656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חזי צוריאל</FullName>
        <FirstName>חזי</FirstName>
        <LastName>צוריאל</LastName>
        <PartyPropertyName/>
        <AuthenticationTypeAndNumber>מ.ר. 63103</AuthenticationTypeAndNumber>
        <RepresentatedOrRepresentativesNames>חיים גורבצבסקי</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246943556</CasePartyID>
        <PartyTypeID>2</PartyTypeID>
        <ActivityStatusID>1</ActivityStatusID>
        <PartyAliasID>24</PartyAliasID>
        <PartyAliasName>בא כוח מערערים</PartyAliasName>
        <OrdinalNumber>1</OrdinalNumber>
        <LegalEntityID>71824519</LegalEntityID>
        <CaseLegalEntityID>121659366</CaseLegalEntityID>
        <AuthenticationTypeID>4</AuthenticationTypeID>
        <AuthenticationTypeName>מ.ר.</AuthenticationTypeName>
        <LegalEntityNumber>63103</LegalEntityNumber>
        <IsMainPartyType>true</IsMainPartyType>
        <CaseDisplayIdentifier>38342-10-22</CaseDisplayIdentifier>
        <CaseTypeID>10113</CaseTypeID>
        <CaseTypeName>ערעור מסים (ע"מ)</CaseTypeName>
        <CaseName>גורבצ'בסקי נ' מדינת ישראל</CaseName>
        <FullAddress>אלון מורה 161 אלון מורה </FullAddress>
        <EmailAddress>tsurielaw@gmail.com</EmailAddress>
        <MotionID>0</MotionID>
        <CasePleaID>0</CasePleaID>
        <LinkedCaseID>0</LinkedCaseID>
        <PartyID>1</PartyID>
        <CasePartyCategoryID>2</CasePartyCategoryID>
        <LegalEntityAddressID>73723963</LegalEntityAddressID>
        <LegalEntityEmailAddressID>67902781</LegalEntityEmailAddressID>
        <PleaTypeID>6</PleaTypeID>
        <LawyerOfficeName>משרד עו"ד חזי צוריאל</LawyerOfficeName>
        <LawyerOfficeID>71824520</LawyerOfficeID>
        <GroupPartyAlias/>
        <IsConverted>false</IsConverted>
        <LegalEntityNameID>75281180</LegalEntityNameID>
        <RepresentatedNamesOfAssistant/>
        <LegalEntityTypeID>4</LegalEntityTypeID>
        <IsVerdictExists>false</IsVerdictExists>
        <IsAsirAzir>false</IsAsirAzir>
        <IsPublicationProhibited>false</IsPublicationProhibited>
        <PublicationProhibitedFullName>חזי צוריאל</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חיים גורבצבסקי</FullName>
        <FirstName>חיים יפים</FirstName>
        <LastName>גורבצ'בסקי</LastName>
        <PartyPropertyName/>
        <AuthenticationTypeAndNumber>ת"ז 312711765</AuthenticationTypeAndNumber>
        <RepresentatedOrRepresentativesNames>חזי צוריאל</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246943555</CasePartyID>
        <PartyTypeID>1</PartyTypeID>
        <ActivityStatusID>1</ActivityStatusID>
        <PartyAliasID>5</PartyAliasID>
        <PartyAliasName>מערער</PartyAliasName>
        <OrdinalNumber>1</OrdinalNumber>
        <LegalEntityID>70021922</LegalEntityID>
        <CaseLegalEntityID>121659365</CaseLegalEntityID>
        <AuthenticationTypeID>1</AuthenticationTypeID>
        <AuthenticationTypeName>ת"ז</AuthenticationTypeName>
        <LegalEntityNumber>312711765</LegalEntityNumber>
        <IsMainPartyType>true</IsMainPartyType>
        <CaseDisplayIdentifier>38342-10-22</CaseDisplayIdentifier>
        <CaseTypeID>10113</CaseTypeID>
        <CaseTypeName>ערעור מסים (ע"מ)</CaseTypeName>
        <CaseName>גורבצ'בסקי נ' מדינת ישראל</CaseName>
        <FullAddress>אלון מורה 303 אלון מורה </FullAddress>
        <MotionID>0</MotionID>
        <CasePleaID>0</CasePleaID>
        <PassportCountryID>900</PassportCountryID>
        <FatherName>זלמן</FatherName>
        <LinkedCaseID>0</LinkedCaseID>
        <PartyID>1</PartyID>
        <CasePartyCategoryID>2</CasePartyCategoryID>
        <LegalEntityAddressID>87084897</LegalEntityAddressID>
        <GrandfatherName/>
        <DrivingLicenseNumber>6850276</DrivingLicenseNumber>
        <PleaTypeID>6</PleaTypeID>
        <GroupPartyAlias>מערערים</GroupPartyAlias>
        <IsConverted>false</IsConverted>
        <LegalEntityRegisteredNameID>6038324</LegalEntityRegisteredNameID>
        <LegalEntityNameID>93832338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גורבצבסקי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246943558</CasePartyID>
        <PartyTypeID>2</PartyTypeID>
        <ActivityStatusID>1</ActivityStatusID>
        <PartyAliasID>23</PartyAliasID>
        <PartyAliasName>בא כוח משיבים</PartyAliasName>
        <OrdinalNumber>1</OrdinalNumber>
        <LegalEntityID>397179</LegalEntityID>
        <CaseLegalEntityID>121659368</CaseLegalEntityID>
        <AuthenticationTypeID>4</AuthenticationTypeID>
        <AuthenticationTypeName>מ.ר.</AuthenticationTypeName>
        <LegalEntityNumber>16651</LegalEntityNumber>
        <IsMainPartyType>true</IsMainPartyType>
        <CaseDisplayIdentifier>38342-10-22</CaseDisplayIdentifier>
        <CaseTypeID>10113</CaseTypeID>
        <CaseTypeName>ערעור מסים (ע"מ)</CaseTypeName>
        <CaseName>גורבצ'בסקי נ' מדינת ישראל</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כוכבית נצח</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246943557</CasePartyID>
        <PartyTypeID>1</PartyTypeID>
        <ActivityStatusID>1</ActivityStatusID>
        <PartyAliasID>4</PartyAliasID>
        <PartyAliasName>משיב</PartyAliasName>
        <OrdinalNumber>1</OrdinalNumber>
        <LegalEntityID>4</LegalEntityID>
        <CaseLegalEntityID>121659367</CaseLegalEntityID>
        <AuthenticationTypeID>41</AuthenticationTypeID>
        <AuthenticationTypeName>מדינת ישראל </AuthenticationTypeName>
        <LegalEntityNumber/>
        <IsMainPartyType>true</IsMainPartyType>
        <CaseDisplayIdentifier>38342-10-22</CaseDisplayIdentifier>
        <CaseTypeID>10113</CaseTypeID>
        <CaseTypeName>ערעור מסים (ע"מ)</CaseTypeName>
        <CaseName>גורבצ'בסקי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DecisionName>פסק דין  שניתנה ע"י  אביגדור דורות</DecisionName>
    <CourtDisplayName>בית המשפט המחוזי בירושלים בשבתו כבית-משפט לערעורים אזרחיים</CourtDisplayName>
    <IsCaseJudgePanel>false</IsCaseJudgePanel>
    <DecisionSignatureDate>2023-09-21T13:41:46.2380133+03:00</DecisionSignatureDate>
    <OpenCaseDate>2022-10-23T22:57:00+03:00</OpenCaseDate>
    <CaseFeeSum>0.000</CaseFeeSum>
    <DecisionTypeID>2</DecisionTypeID>
    <DecisionSignatureUserName>אביגדור דורות</DecisionSignatureUserName>
    <DecisionSignatureDateHebrew>2023-09-21T13:41:46.2380133+03:00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גורבצ'בסקי נ' מדינת ישראל</CaseName>
    <DecisionNumberInCase>5</DecisionNumberInCase>
  </dt_Decision>
  <dt_DecisionCase>
    <DecisionID>0</DecisionID>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חזי צוריאל</FullName>
        <FirstName>חזי</FirstName>
        <LastName>צוריאל</LastName>
        <PartyPropertyName/>
        <AuthenticationTypeAndNumber>מ.ר. 63103</AuthenticationTypeAndNumber>
        <RepresentatedOrRepresentativesNames>חיים גורבצבסקי</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246943556</CasePartyID>
        <PartyTypeID>2</PartyTypeID>
        <ActivityStatusID>1</ActivityStatusID>
        <PartyAliasID>24</PartyAliasID>
        <PartyAliasName>בא כוח מערערים</PartyAliasName>
        <OrdinalNumber>1</OrdinalNumber>
        <LegalEntityID>71824519</LegalEntityID>
        <CaseLegalEntityID>121659366</CaseLegalEntityID>
        <AuthenticationTypeID>4</AuthenticationTypeID>
        <AuthenticationTypeName>מ.ר.</AuthenticationTypeName>
        <LegalEntityNumber>63103</LegalEntityNumber>
        <IsMainPartyType>true</IsMainPartyType>
        <CaseDisplayIdentifier>38342-10-22</CaseDisplayIdentifier>
        <CaseTypeID>10113</CaseTypeID>
        <CaseTypeName>ערעור מסים (ע"מ)</CaseTypeName>
        <CaseName>גורבצ'בסקי נ' מדינת ישראל</CaseName>
        <FullAddress>אלון מורה 161 אלון מורה </FullAddress>
        <EmailAddress>tsurielaw@gmail.com</EmailAddress>
        <MotionID>0</MotionID>
        <CasePleaID>0</CasePleaID>
        <LinkedCaseID>0</LinkedCaseID>
        <PartyID>1</PartyID>
        <CasePartyCategoryID>2</CasePartyCategoryID>
        <LegalEntityAddressID>73723963</LegalEntityAddressID>
        <LegalEntityEmailAddressID>67902781</LegalEntityEmailAddressID>
        <PleaTypeID>6</PleaTypeID>
        <LawyerOfficeName>משרד עו"ד חזי צוריאל</LawyerOfficeName>
        <LawyerOfficeID>71824520</LawyerOfficeID>
        <GroupPartyAlias/>
        <IsConverted>false</IsConverted>
        <LegalEntityNameID>75281180</LegalEntityNameID>
        <RepresentatedNamesOfAssistant/>
        <LegalEntityTypeID>4</LegalEntityTypeID>
        <IsVerdictExists>false</IsVerdictExists>
        <IsAsirAzir>false</IsAsirAzir>
        <IsPublicationProhibited>false</IsPublicationProhibited>
        <PublicationProhibitedFullName>חזי צוריאל</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חיים גורבצבסקי</FullName>
        <FirstName>חיים יפים</FirstName>
        <LastName>גורבצ'בסקי</LastName>
        <PartyPropertyName/>
        <AuthenticationTypeAndNumber>ת"ז 312711765</AuthenticationTypeAndNumber>
        <RepresentatedOrRepresentativesNames>חזי צוריאל</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246943555</CasePartyID>
        <PartyTypeID>1</PartyTypeID>
        <ActivityStatusID>1</ActivityStatusID>
        <PartyAliasID>5</PartyAliasID>
        <PartyAliasName>מערער</PartyAliasName>
        <OrdinalNumber>1</OrdinalNumber>
        <LegalEntityID>70021922</LegalEntityID>
        <CaseLegalEntityID>121659365</CaseLegalEntityID>
        <AuthenticationTypeID>1</AuthenticationTypeID>
        <AuthenticationTypeName>ת"ז</AuthenticationTypeName>
        <LegalEntityNumber>312711765</LegalEntityNumber>
        <IsMainPartyType>true</IsMainPartyType>
        <CaseDisplayIdentifier>38342-10-22</CaseDisplayIdentifier>
        <CaseTypeID>10113</CaseTypeID>
        <CaseTypeName>ערעור מסים (ע"מ)</CaseTypeName>
        <CaseName>גורבצ'בסקי נ' מדינת ישראל</CaseName>
        <FullAddress>אלון מורה 303 אלון מורה </FullAddress>
        <MotionID>0</MotionID>
        <CasePleaID>0</CasePleaID>
        <PassportCountryID>900</PassportCountryID>
        <FatherName>זלמן</FatherName>
        <LinkedCaseID>0</LinkedCaseID>
        <PartyID>1</PartyID>
        <CasePartyCategoryID>2</CasePartyCategoryID>
        <LegalEntityAddressID>87084897</LegalEntityAddressID>
        <GrandfatherName/>
        <DrivingLicenseNumber>6850276</DrivingLicenseNumber>
        <PleaTypeID>6</PleaTypeID>
        <GroupPartyAlias>מערערים</GroupPartyAlias>
        <IsConverted>false</IsConverted>
        <LegalEntityRegisteredNameID>6038324</LegalEntityRegisteredNameID>
        <LegalEntityNameID>93832338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חיים גורבצבסקי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כוכבית נצח</FullName>
        <FirstName>כוכבית</FirstName>
        <LastName>נצח</LastName>
        <PartyPropertyName/>
        <AuthenticationTypeAndNumber>מ.ר. 16651</AuthenticationTypeAndNumber>
        <RepresentatedOrRepresentativesNames xml:space="preserve"> </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246943558</CasePartyID>
        <PartyTypeID>2</PartyTypeID>
        <ActivityStatusID>1</ActivityStatusID>
        <PartyAliasID>23</PartyAliasID>
        <PartyAliasName>בא כוח משיבים</PartyAliasName>
        <OrdinalNumber>1</OrdinalNumber>
        <LegalEntityID>397179</LegalEntityID>
        <CaseLegalEntityID>121659368</CaseLegalEntityID>
        <AuthenticationTypeID>4</AuthenticationTypeID>
        <AuthenticationTypeName>מ.ר.</AuthenticationTypeName>
        <LegalEntityNumber>16651</LegalEntityNumber>
        <IsMainPartyType>true</IsMainPartyType>
        <CaseDisplayIdentifier>38342-10-22</CaseDisplayIdentifier>
        <CaseTypeID>10113</CaseTypeID>
        <CaseTypeName>ערעור מסים (ע"מ)</CaseTypeName>
        <CaseName>גורבצ'בסקי נ' מדינת ישראל</CaseName>
        <FullAddress>מח"ל 7 ירושלים </FullAddress>
        <MotionID>0</MotionID>
        <CasePleaID>0</CasePleaID>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18163</LegalEntityNameID>
        <RepresentatedNamesOfAssistant/>
        <LegalEntityTypeID>4</LegalEntityTypeID>
        <IsVerdictExists>false</IsVerdictExists>
        <IsAsirAzir>false</IsAsirAzir>
        <IsPublicationProhibited>false</IsPublicationProhibited>
        <PublicationProhibitedFullName>כוכבית נצח</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מדינת ישראל</FullName>
        <FirstName/>
        <LastName>מדינת ישראל</LastName>
        <PartyPropertyName/>
        <AuthenticationTypeAndNumber>מדינת ישראל </AuthenticationTypeAndNumber>
        <RepresentatedOrRepresentativesNames>כוכבית נצח</RepresentatedOrRepresentativesNames>
        <RepresentatedOrRepresentativesCount>1</RepresentatedOrRepresentativesCount>
        <InvitedBy/>
        <CaseID>79684083</CaseID>
        <CaseJudicialPersonPresentationDS>
          <CaseJudicalPersonActive>
            <CaseID>79684083</CaseID>
            <JudicialPersonID>055121115@GOV.IL</JudicialPersonID>
            <JudicialPersonTypeID>1</JudicialPersonTypeID>
            <JudicialTypeID>1</JudicialTypeID>
            <IsChairman>false</IsChairman>
            <TreatmentStartDate>2022-10-26T07:37:21.34+03:00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246943557</CasePartyID>
        <PartyTypeID>1</PartyTypeID>
        <ActivityStatusID>1</ActivityStatusID>
        <PartyAliasID>4</PartyAliasID>
        <PartyAliasName>משיב</PartyAliasName>
        <OrdinalNumber>1</OrdinalNumber>
        <LegalEntityID>4</LegalEntityID>
        <CaseLegalEntityID>121659367</CaseLegalEntityID>
        <AuthenticationTypeID>41</AuthenticationTypeID>
        <AuthenticationTypeName>מדינת ישראל </AuthenticationTypeName>
        <LegalEntityNumber/>
        <IsMainPartyType>true</IsMainPartyType>
        <CaseDisplayIdentifier>38342-10-22</CaseDisplayIdentifier>
        <CaseTypeID>10113</CaseTypeID>
        <CaseTypeName>ערעור מסים (ע"מ)</CaseTypeName>
        <CaseName>גורבצ'בסקי נ' מדינת ישראל</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SelectionDS>
    <CaseName>גורבצ'בסקי נ' מדינת ישראל</CaseName>
    <CaseDisplayIdentifier>38342-10-22</CaseDisplayIdentifier>
    <CaseInterestID>78</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StreetName>אלון מורה 303</StreetName>
    <ZipCode>44833</ZipCode>
    <CityName>אלון מורה</CityName>
    <FullName>חיים גורבצבסקי</FullName>
    <IsPublicationProhibited>false</IsPublicationProhibited>
  </dt_LegalEntityDetails>
  <dt_LegalEntityDetails>
    <Fax>153-29973724</Fax>
    <PartyID>1</PartyID>
    <PartyTypeID>2</PartyTypeID>
    <DecisionID>0</DecisionID>
    <StreetName>אלון מורה 161</StreetName>
    <ZipCode>44833</ZipCode>
    <CityName>אלון מורה</CityName>
    <FullName>חזי צוריאל</FullName>
    <Email>tsurielaw@gmail.com</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כוכבית נצח</FullName>
    <Email>MIN-jer@justice.gov.il</Email>
    <IsPublicationProhibited>false</IsPublicationProhibited>
  </dt_LegalEntityDetails>
  <dt_CaseJudicalPersonActive>
    <CaseJudicalPerson>שופט אביגדור דורות</CaseJudicalPerson>
  </dt_CaseJudicalPersonActive>
  <dt_Sitting>
    <PreviousMeetingDate>2023-09-21T12:00:00+03:00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81D88-AD29-4F22-A9D5-E2FAB85D7A7F}">
  <ds:schemaRefs/>
</ds:datastoreItem>
</file>

<file path=customXml/itemProps2.xml><?xml version="1.0" encoding="utf-8"?>
<ds:datastoreItem xmlns:ds="http://schemas.openxmlformats.org/officeDocument/2006/customXml" ds:itemID="{6F11BA30-742F-45DA-A27F-53599FA91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1667</Words>
  <Characters>8335</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2023-09-21T11:54:00Z</cp:lastPrinted>
  <dcterms:created xsi:type="dcterms:W3CDTF">2023-09-27T11:32:00Z</dcterms:created>
  <dcterms:modified xsi:type="dcterms:W3CDTF">2023-09-27T11:32:00Z</dcterms:modified>
</cp:coreProperties>
</file>